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6"/>
          <w:szCs w:val="36"/>
        </w:rPr>
        <w:t xml:space="preserve">LEI Nº 14.133/2021</w:t>
      </w:r>
    </w:p>
    <w:p>
      <w:pPr>
        <w:spacing w:after="200"/>
        <w:jc w:val="center"/>
      </w:pPr>
      <w:r>
        <w:rPr>
          <w:color w:val="2E5C8A"/>
          <w:sz w:val="26"/>
          <w:szCs w:val="26"/>
        </w:rPr>
        <w:t xml:space="preserve">aplicada à compra de material de treinamento médico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Guia operacional para procurement em saúde — universidades, hospitais universitários e laboratórios de habilidades</w:t>
      </w:r>
    </w:p>
    <w:p>
      <w:pPr>
        <w:spacing w:after="200"/>
        <w:jc w:val="center"/>
      </w:pPr>
      <w:r>
        <w:rPr>
          <w:color w:val="808080"/>
          <w:sz w:val="20"/>
          <w:szCs w:val="20"/>
        </w:rPr>
        <w:t xml:space="preserve">Atualização: maio/2026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Não substitui consulta jurídica especializada. As referências legais devem ser verificadas e atualizadas conforme a vigência das normas no momento do uso.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1. A Lei 14.133/2021: o que é, escopo e transição da Lei 8.666/1993</w:t>
      </w:r>
    </w:p>
    <w:p>
      <w:pPr>
        <w:spacing w:after="120" w:before="0" w:line="320"/>
      </w:pPr>
      <w:r>
        <w:rPr>
          <w:sz w:val="22"/>
          <w:szCs w:val="22"/>
        </w:rPr>
        <w:t xml:space="preserve">2. Categorias de contratação aplicáveis a material educacional</w:t>
      </w:r>
    </w:p>
    <w:p>
      <w:pPr>
        <w:spacing w:after="120" w:before="0" w:line="320"/>
      </w:pPr>
      <w:r>
        <w:rPr>
          <w:sz w:val="22"/>
          <w:szCs w:val="22"/>
        </w:rPr>
        <w:t xml:space="preserve">3. Fluxo completo: do planejamento à entrega</w:t>
      </w:r>
    </w:p>
    <w:p>
      <w:pPr>
        <w:spacing w:after="120" w:before="0" w:line="320"/>
      </w:pPr>
      <w:r>
        <w:rPr>
          <w:sz w:val="22"/>
          <w:szCs w:val="22"/>
        </w:rPr>
        <w:t xml:space="preserve">4. Modalidades de licitação</w:t>
      </w:r>
    </w:p>
    <w:p>
      <w:pPr>
        <w:spacing w:after="120" w:before="0" w:line="320"/>
      </w:pPr>
      <w:r>
        <w:rPr>
          <w:sz w:val="22"/>
          <w:szCs w:val="22"/>
        </w:rPr>
        <w:t xml:space="preserve">5. Hipóteses de contratação direta (dispensa e inexigibilidade)</w:t>
      </w:r>
    </w:p>
    <w:p>
      <w:pPr>
        <w:spacing w:after="120" w:before="0" w:line="320"/>
      </w:pPr>
      <w:r>
        <w:rPr>
          <w:sz w:val="22"/>
          <w:szCs w:val="22"/>
        </w:rPr>
        <w:t xml:space="preserve">6. Especificidades por tipo de órgão</w:t>
      </w:r>
    </w:p>
    <w:p>
      <w:pPr>
        <w:spacing w:after="120" w:before="0" w:line="320"/>
      </w:pPr>
      <w:r>
        <w:rPr>
          <w:sz w:val="22"/>
          <w:szCs w:val="22"/>
        </w:rPr>
        <w:t xml:space="preserve">7. Vícios mais comuns em editais de saúde e como evitá-los</w:t>
      </w:r>
    </w:p>
    <w:p>
      <w:pPr>
        <w:spacing w:after="120" w:before="0" w:line="320"/>
      </w:pPr>
      <w:r>
        <w:rPr>
          <w:sz w:val="22"/>
          <w:szCs w:val="22"/>
        </w:rPr>
        <w:t xml:space="preserve">8. Marco regulatório complementar</w:t>
      </w:r>
    </w:p>
    <w:p>
      <w:pPr>
        <w:spacing w:after="120" w:before="0" w:line="320"/>
      </w:pPr>
      <w:r>
        <w:rPr>
          <w:sz w:val="22"/>
          <w:szCs w:val="22"/>
        </w:rPr>
        <w:t xml:space="preserve">9. Cronograma típico do processo</w:t>
      </w:r>
    </w:p>
    <w:p>
      <w:pPr>
        <w:spacing w:after="120" w:before="0" w:line="320"/>
      </w:pPr>
      <w:r>
        <w:rPr>
          <w:sz w:val="22"/>
          <w:szCs w:val="22"/>
        </w:rPr>
        <w:t xml:space="preserve">10. Como acompanhar e gerenciar o contrato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A Lei 14.133/2021: o que é, escopo e transição da Lei 8.666/1993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1.1 O que é a Lei 14.133/2021</w:t>
      </w:r>
    </w:p>
    <w:p>
      <w:pPr>
        <w:spacing w:after="120" w:before="0" w:line="320"/>
      </w:pPr>
      <w:r>
        <w:rPr>
          <w:sz w:val="22"/>
          <w:szCs w:val="22"/>
        </w:rPr>
        <w:t xml:space="preserve">A Lei nº 14.133, de 1º de abril de 2021 — conhecida como Nova Lei de Licitações e Contratos Administrativos — substitui integralmente a Lei nº 8.666/1993 e parcialmente a Lei do Pregão (nº 10.520/2002) e o RDC (Lei nº 12.462/2011). É a referência normativa central para todas as contratações públicas no Brasil, aplicando-se à União, aos Estados, ao Distrito Federal e aos Municípios.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1.2 Escopo de aplicação</w:t>
      </w:r>
    </w:p>
    <w:p>
      <w:pPr>
        <w:spacing w:after="120" w:before="0" w:line="320"/>
      </w:pPr>
      <w:r>
        <w:rPr>
          <w:sz w:val="22"/>
          <w:szCs w:val="22"/>
        </w:rPr>
        <w:t xml:space="preserve">A Lei 14.133 aplica-se aos órgãos da Administração Pública direta e indireta — autarquias, fundações, empresas públicas e sociedades de economia mista que não estejam regidas pela Lei das Estatais (nº 13.303/2016). Para o público desta cartilha: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Universidades federais e estaduais (IFES, IES estaduais): aplicam integralmente a Lei 14.133.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Hospitais universitários federais (EBSERH): aplicam a Lei 14.133, com regramento complementar próprio.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Institutos federais: aplicam a Lei 14.133.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Fundações de apoio: aplicam a Lei 14.133 quando atuam com recursos públicos.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Ligas acadêmicas que compram via fundação de apoio: indiretamente sujeitas à Lei 14.133.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1.3 Transição da Lei 8.666/1993</w:t>
      </w:r>
    </w:p>
    <w:p>
      <w:pPr>
        <w:spacing w:after="120" w:before="0" w:line="320"/>
      </w:pPr>
      <w:r>
        <w:rPr>
          <w:sz w:val="22"/>
          <w:szCs w:val="22"/>
        </w:rPr>
        <w:t xml:space="preserve">A vigência simultânea das duas leis encerrou-se em 30 de dezembro de 2023 (após sucessivas prorrogações). Desde então, qualquer novo procedimento licitatório segue exclusivamente a Lei 14.133. Contratos firmados sob a 8.666 antes dessa data continuam regidos pela lei antiga até seu encerramento.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1.4 Princípios reforçados pela Lei 14.133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Planejamento prévio (art. 11) — daí a obrigatoriedade do PCA e do ETP.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Eficiência (art. 5º) — vínculo direto com a economia comparativa do investimento.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Segregação de funções — quem demanda não é quem recebe, fiscaliza e paga.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Publicidade pelo PNCP — sítio eletrônico oficial obrigatório.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Gestão por riscos — exigência de matriz de riscos em contratos maiores.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Categorias de contratação aplicáveis a material educacional</w:t>
      </w:r>
    </w:p>
    <w:p>
      <w:pPr>
        <w:spacing w:after="120" w:before="0" w:line="320"/>
      </w:pPr>
      <w:r>
        <w:rPr>
          <w:sz w:val="22"/>
          <w:szCs w:val="22"/>
        </w:rPr>
        <w:t xml:space="preserve">Material exclusivamente educacional — não destinado a uso em paciente — encaixa-se nas seguintes classificações operacionais: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2.1 Quanto ao objeto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Material permanente (elemento de despesa 44.90.52) — instrumental, simulador, endotrainer, caixas de treinamento. Bens de uso duradouro.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Material de consumo (elemento de despesa 33.90.30) — quando há itens consumíveis (esponjas treino, peças orgânicas, suturas treino).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Serviço (elemento de despesa 33.90.39 ou 33.90.40) — treinamento operacional, garantia técnica estendida, manutenção.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2.2 Quanto à natureza regulatória</w:t>
      </w:r>
    </w:p>
    <w:p>
      <w:pPr>
        <w:spacing w:after="120" w:before="0" w:line="320"/>
      </w:pPr>
      <w:r>
        <w:rPr>
          <w:sz w:val="22"/>
          <w:szCs w:val="22"/>
        </w:rPr>
        <w:t xml:space="preserve">Esta é a classificação mais delicada. Material educacional NÃO é dispositivo médico para fins regulatórios da ANVISA (RDC 751/2022). Portanto: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Característica</w:t>
            </w:r>
          </w:p>
        </w:tc>
        <w:tc>
          <w:tcPr>
            <w:tcW w:type="dxa" w:w="5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Posição correta no edital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Registro ANVISA</w:t>
            </w:r>
          </w:p>
        </w:tc>
        <w:tc>
          <w:tcPr>
            <w:tcW w:type="dxa" w:w="5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 exigir. Material educacional está fora do escopo da RDC 751/2022.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Identificação do uso</w:t>
            </w:r>
          </w:p>
        </w:tc>
        <w:tc>
          <w:tcPr>
            <w:tcW w:type="dxa" w:w="5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Exigir que rotulagem e embalagem identifiquem 'uso exclusivamente educacional'.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Norma de fabricação</w:t>
            </w:r>
          </w:p>
        </w:tc>
        <w:tc>
          <w:tcPr>
            <w:tcW w:type="dxa" w:w="5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Pode-se exigir aço inox austenítico grau médico (norma industrial), autoclavagem 134°C.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CATMAT</w:t>
            </w:r>
          </w:p>
        </w:tc>
        <w:tc>
          <w:tcPr>
            <w:tcW w:type="dxa" w:w="5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Família 'equipamento de ensino e treinamento médico', não 'instrumental cirúrgico para paciente'.</w:t>
            </w:r>
          </w:p>
        </w:tc>
      </w:tr>
    </w:tbl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Detalhamento técnico-regulatório aprofundado: vide R03 (descritivo técnico) e R04 (glossário, seção 7).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2.3 Quanto à modalidade preferencial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Bens comuns (a maioria do material educacional): pregão eletrônico, modo aberto.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Valor pequeno (até R$ ~59 mil em 2026): dispensa por valor (art. 75, II).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Fornecedor único justificado: inexigibilidade (art. 74).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Fluxo completo: do planejamento à entrega</w:t>
      </w:r>
    </w:p>
    <w:p>
      <w:pPr>
        <w:spacing w:after="120" w:before="0" w:line="320"/>
      </w:pPr>
      <w:r>
        <w:rPr>
          <w:sz w:val="22"/>
          <w:szCs w:val="22"/>
        </w:rPr>
        <w:t xml:space="preserve">O fluxo padrão de uma aquisição de material de treinamento médico via pregão eletrônico: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5226"/>
      </w:tblGrid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#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Etapa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Documento ou ação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Planejamento anual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Inclusão no PCA. Art. 12, VII.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Demanda formal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Memorando da unidade requisitante.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Estudo Técnico Preliminar (ETP)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11 seções obrigatórias do art. 18. → Modelo pronto.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Pesquisa de preços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≥3 fontes (art. 23 + IN SEGES 65/2021). → Planilha pronta.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Termo de Referência (TR)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11 seções obrigatórias do art. 6º, XXIII e art. 40. → Modelo pronto.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Parecer jurídico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Análise da assessoria jurídica.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Autorização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Despacho da autoridade competente.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Edital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Publicação no PNCP + Comprasnet (federal) ou plataforma estadual/municipal.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Sessão de pregão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Disputa eletrônica, classificação, habilitação.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Adjudicação e homologação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Decisão formal e autorização para contratar.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Empenho e contrato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Nota de empenho + contrato (quando aplicável).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12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Entrega e recebimento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Provisório (5 dias úteis) + definitivo (15 dias úteis), via comissão.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13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Pagamento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Até 30 dias após NF atestada.</w:t>
            </w:r>
          </w:p>
        </w:tc>
      </w:tr>
    </w:tbl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Cronograma típico: 90 a 150 dias entre etapa 1 e etapa 12, conforme maturidade do órgão e complexidade do objeto.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Modalidades de licitação</w:t>
      </w:r>
    </w:p>
    <w:p>
      <w:pPr>
        <w:spacing w:after="120" w:before="0" w:line="320"/>
      </w:pPr>
      <w:r>
        <w:rPr>
          <w:sz w:val="22"/>
          <w:szCs w:val="22"/>
        </w:rPr>
        <w:t xml:space="preserve">A Lei 14.133 (art. 28) lista as modalidades:</w:t>
      </w:r>
    </w:p>
    <w:p>
      <w:pPr>
        <w:pStyle w:val="Heading3"/>
      </w:pPr>
      <w:r>
        <w:rPr>
          <w:b/>
          <w:bCs/>
          <w:color w:val="2E5C8A"/>
          <w:sz w:val="22"/>
          <w:szCs w:val="22"/>
        </w:rPr>
        <w:t xml:space="preserve">4.1 Pregão</w:t>
      </w:r>
    </w:p>
    <w:p>
      <w:pPr>
        <w:spacing w:after="120" w:before="0" w:line="320"/>
      </w:pPr>
      <w:r>
        <w:rPr>
          <w:sz w:val="22"/>
          <w:szCs w:val="22"/>
        </w:rPr>
        <w:t xml:space="preserve">Para bens e serviços comuns. Modalidade preferencial e padrão para material educacional. Modo de disputa aberto (lances sucessivos) ou aberto-fechado. Realizado integralmente em meio eletrônico no PNCP/Comprasnet ou plataforma estadual.</w:t>
      </w:r>
    </w:p>
    <w:p>
      <w:pPr>
        <w:pStyle w:val="Heading3"/>
      </w:pPr>
      <w:r>
        <w:rPr>
          <w:b/>
          <w:bCs/>
          <w:color w:val="2E5C8A"/>
          <w:sz w:val="22"/>
          <w:szCs w:val="22"/>
        </w:rPr>
        <w:t xml:space="preserve">4.2 Concorrência</w:t>
      </w:r>
    </w:p>
    <w:p>
      <w:pPr>
        <w:spacing w:after="120" w:before="0" w:line="320"/>
      </w:pPr>
      <w:r>
        <w:rPr>
          <w:sz w:val="22"/>
          <w:szCs w:val="22"/>
        </w:rPr>
        <w:t xml:space="preserve">Para obras, serviços de engenharia e bens/serviços especiais. Pouco usual para material educacional.</w:t>
      </w:r>
    </w:p>
    <w:p>
      <w:pPr>
        <w:pStyle w:val="Heading3"/>
      </w:pPr>
      <w:r>
        <w:rPr>
          <w:b/>
          <w:bCs/>
          <w:color w:val="2E5C8A"/>
          <w:sz w:val="22"/>
          <w:szCs w:val="22"/>
        </w:rPr>
        <w:t xml:space="preserve">4.3 Concurso</w:t>
      </w:r>
    </w:p>
    <w:p>
      <w:pPr>
        <w:spacing w:after="120" w:before="0" w:line="320"/>
      </w:pPr>
      <w:r>
        <w:rPr>
          <w:sz w:val="22"/>
          <w:szCs w:val="22"/>
        </w:rPr>
        <w:t xml:space="preserve">Para escolha de trabalho técnico, científico ou artístico. Aplicação rara em procurement de saúde.</w:t>
      </w:r>
    </w:p>
    <w:p>
      <w:pPr>
        <w:pStyle w:val="Heading3"/>
      </w:pPr>
      <w:r>
        <w:rPr>
          <w:b/>
          <w:bCs/>
          <w:color w:val="2E5C8A"/>
          <w:sz w:val="22"/>
          <w:szCs w:val="22"/>
        </w:rPr>
        <w:t xml:space="preserve">4.4 Leilão</w:t>
      </w:r>
    </w:p>
    <w:p>
      <w:pPr>
        <w:spacing w:after="120" w:before="0" w:line="320"/>
      </w:pPr>
      <w:r>
        <w:rPr>
          <w:sz w:val="22"/>
          <w:szCs w:val="22"/>
        </w:rPr>
        <w:t xml:space="preserve">Para alienação de bens móveis e imóveis.</w:t>
      </w:r>
    </w:p>
    <w:p>
      <w:pPr>
        <w:pStyle w:val="Heading3"/>
      </w:pPr>
      <w:r>
        <w:rPr>
          <w:b/>
          <w:bCs/>
          <w:color w:val="2E5C8A"/>
          <w:sz w:val="22"/>
          <w:szCs w:val="22"/>
        </w:rPr>
        <w:t xml:space="preserve">4.5 Diálogo competitivo</w:t>
      </w:r>
    </w:p>
    <w:p>
      <w:pPr>
        <w:spacing w:after="120" w:before="0" w:line="320"/>
      </w:pPr>
      <w:r>
        <w:rPr>
          <w:sz w:val="22"/>
          <w:szCs w:val="22"/>
        </w:rPr>
        <w:t xml:space="preserve">Para contratações complexas com inovação tecnológica. Pouco usual para material educacional, mas pode ser cogitado para projetos integrados de simulação.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Hipóteses de contratação direta (dispensa e inexigibilidade)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5.1 Dispensa de licitação (art. 75)</w:t>
      </w:r>
    </w:p>
    <w:p>
      <w:pPr>
        <w:spacing w:after="120" w:before="0" w:line="320"/>
      </w:pPr>
      <w:r>
        <w:rPr>
          <w:sz w:val="22"/>
          <w:szCs w:val="22"/>
        </w:rPr>
        <w:t xml:space="preserve">Hipóteses mais relevantes para material educacional: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II — pequeno valor: até aprox. R$ 59.906,02 em 2026 (atualizado anualmente por decreto). Para acomodação de aquisições rápidas e de baixo impacto.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V — material destinado a pesquisa científica e tecnológica em projeto aprovado por agência de fomento ou CNPq.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XII — aquisição de bens produzidos por instituições nacionais sem fins lucrativos, vinculadas à pesquisa, ao ensino ou ao desenvolvimento institucional.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XIV — aquisições para o atendimento de programa estratégico de fomento, ciência, tecnologia ou inovação.</w:t>
      </w:r>
    </w:p>
    <w:p>
      <w:pPr>
        <w:spacing w:after="120" w:before="0" w:line="320"/>
      </w:pPr>
      <w:r>
        <w:rPr>
          <w:sz w:val="22"/>
          <w:szCs w:val="22"/>
        </w:rPr>
        <w:t xml:space="preserve">Cada hipótese exige fundamentação específica no processo (memorando, certidão de exclusividade quando aplicável, declaração de adequação ao escopo do art. 75).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5.2 Inexigibilidade (art. 74)</w:t>
      </w:r>
    </w:p>
    <w:p>
      <w:pPr>
        <w:spacing w:after="120" w:before="0" w:line="320"/>
      </w:pPr>
      <w:r>
        <w:rPr>
          <w:sz w:val="22"/>
          <w:szCs w:val="22"/>
        </w:rPr>
        <w:t xml:space="preserve">Aplica-se quando há inviabilidade de competição. Para material educacional, raramente cabe — o mercado costuma ter pluralidade de fornecedores. Hipóteses possíveis: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Equipamento de simulação de fabricante exclusivo, com tecnologia patenteada e sem similar no mercado nacional.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Serviço técnico especializado de notória especialização (treinamento ministrado por profissional reconhecido pela comunidade técnica).</w:t>
      </w:r>
    </w:p>
    <w:p>
      <w:pPr>
        <w:spacing w:after="120" w:before="0" w:line="320"/>
      </w:pPr>
      <w:r>
        <w:rPr>
          <w:sz w:val="22"/>
          <w:szCs w:val="22"/>
        </w:rPr>
        <w:t xml:space="preserve">Atenção: a alegação de fornecedor único deve vir acompanhada de pesquisa de mercado documentada, atestado/certidão de exclusividade do fabricante e parecer técnico fundamentado. O TCU é rigoroso com inexigibilidade indevida.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5.3 Procedimento simplificado</w:t>
      </w:r>
    </w:p>
    <w:p>
      <w:pPr>
        <w:spacing w:after="120" w:before="0" w:line="320"/>
      </w:pPr>
      <w:r>
        <w:rPr>
          <w:sz w:val="22"/>
          <w:szCs w:val="22"/>
        </w:rPr>
        <w:t xml:space="preserve">Para dispensa e inexigibilidade, a Lei 14.133 exige o procedimento simplificado: justificativa, pesquisa de preços (mesmo em dispensa), parecer jurídico, autorização, publicidade no PNCP e aviso à autoridade superior.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Especificidades por tipo de órgão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6.1 Universidade federal (IFES)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 integralmente a Lei 14.133.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Usa o sistema Comprasnet (gov.br/compras) e publica no PNCP.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Estrutura típica: Pró-Reitoria de Administração + Departamento de Compras + Comissão de Licitação/Pregoeiros designados.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Autoridade competente geralmente delegada do Reitor ao Pró-Reitor.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Cita PDI (Plano de Desenvolvimento Institucional) no ETP.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6.2 Hospital universitário federal (EBSERH ou autárquico)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EBSERH aplica a Lei 14.133 com regramento complementar próprio.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Estrutura específica de gestão de compras (sistema corporativo EBSERH + Comprasnet).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Cita o plano diretor do hospital e o programa de residência reconhecido pela CNRM.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6.3 Universidade estadual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 a Lei 14.133 (no que coube).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Pode haver decretos estaduais complementares — verificar PR (Decreto 11.395/2023), SP (Decreto 67.690/2023), RJ etc.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Plataformas estaduais (BEC-SP, Compras Paraná, Compras Net Estado) substituem o Comprasnet federal.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Cita PPA estadual e orçamento da universidade.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6.4 Instituto federal (IF)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 integralmente a Lei 14.133.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Útil para cursos técnicos em saúde (enfermagem, instrumentação cirúrgica).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Cita o Plano de Curso da habilitação técnica e o PDI.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6.5 Liga acadêmica via fundação de apoio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Compra é feita pela fundação, sujeita à Lei 14.133 quando há uso de recursos públicos.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Termo de cessão de uso entre fundação e universidade é boa prática.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Convênio que dá lastro à aquisição deve estar no processo.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Vícios mais comuns em editais de saúde e como evitá-los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7.1 Direcionamento de marca (violação do art. 41)</w:t>
      </w:r>
    </w:p>
    <w:p>
      <w:pPr>
        <w:spacing w:after="120" w:before="0" w:line="320"/>
      </w:pPr>
      <w:r>
        <w:rPr>
          <w:sz w:val="22"/>
          <w:szCs w:val="22"/>
        </w:rPr>
        <w:t xml:space="preserve">Especificação técnica que só uma marca atende. Solução: descritivo neutro, validado contra ≥3 fornecedores. Vide R03 — descritivo técnico pronto.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7.2 Exigência indevida de registro ANVISA para material educacional</w:t>
      </w:r>
    </w:p>
    <w:p>
      <w:pPr>
        <w:spacing w:after="120" w:before="0" w:line="320"/>
      </w:pPr>
      <w:r>
        <w:rPr>
          <w:sz w:val="22"/>
          <w:szCs w:val="22"/>
        </w:rPr>
        <w:t xml:space="preserve">RDC 185, 56, 59 não se aplicam a material exclusivamente educacional. Exigi-las torna o edital restritivo. Vide R04 — glossário, seção 7.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7.3 Atestado de capacidade técnica excessivo</w:t>
      </w:r>
    </w:p>
    <w:p>
      <w:pPr>
        <w:spacing w:after="120" w:before="0" w:line="320"/>
      </w:pPr>
      <w:r>
        <w:rPr>
          <w:sz w:val="22"/>
          <w:szCs w:val="22"/>
        </w:rPr>
        <w:t xml:space="preserve">Exigir &gt;50% do quantitativo restringe demais o mercado. A jurisprudência admite atestado para até 50% do objeto sem fundamentação adicional.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7.4 Pesquisa de preços com fonte única ou enviesada</w:t>
      </w:r>
    </w:p>
    <w:p>
      <w:pPr>
        <w:spacing w:after="120" w:before="0" w:line="320"/>
      </w:pPr>
      <w:r>
        <w:rPr>
          <w:sz w:val="22"/>
          <w:szCs w:val="22"/>
        </w:rPr>
        <w:t xml:space="preserve">≥3 fontes diversificadas, com tratamento estatístico (mediana ou média saneada). Vide R07 — planilha pronta.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7.5 Descritivo sem identificação da finalidade educacional</w:t>
      </w:r>
    </w:p>
    <w:p>
      <w:pPr>
        <w:spacing w:after="120" w:before="0" w:line="320"/>
      </w:pPr>
      <w:r>
        <w:rPr>
          <w:sz w:val="22"/>
          <w:szCs w:val="22"/>
        </w:rPr>
        <w:t xml:space="preserve">Quando o item NÃO traz a expressão 'uso exclusivamente educacional', cria-se ambiguidade que retoma a discussão regulatória ANVISA. Boa prática: inserir essa identificação no descritivo.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7.6 Prazo de entrega incompatível com o mercado</w:t>
      </w:r>
    </w:p>
    <w:p>
      <w:pPr>
        <w:spacing w:after="120" w:before="0" w:line="320"/>
      </w:pPr>
      <w:r>
        <w:rPr>
          <w:sz w:val="22"/>
          <w:szCs w:val="22"/>
        </w:rPr>
        <w:t xml:space="preserve">Prazos muito curtos (≤15 dias) eliminam fornecedores que dependem de importação ou produção sob demanda. Recomendado: 30-60 dias para instrumental, 60-90 dias para equipamentos.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7.7 Garantia inferior a 12 meses</w:t>
      </w:r>
    </w:p>
    <w:p>
      <w:pPr>
        <w:spacing w:after="120" w:before="0" w:line="320"/>
      </w:pPr>
      <w:r>
        <w:rPr>
          <w:sz w:val="22"/>
          <w:szCs w:val="22"/>
        </w:rPr>
        <w:t xml:space="preserve">Padrão de mercado: 12 meses contra defeitos de fabricação. Exigir menos sinaliza ao mercado descuido institucional.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7.8 Falta de assistência técnica especificada</w:t>
      </w:r>
    </w:p>
    <w:p>
      <w:pPr>
        <w:spacing w:after="120" w:before="0" w:line="320"/>
      </w:pPr>
      <w:r>
        <w:rPr>
          <w:sz w:val="22"/>
          <w:szCs w:val="22"/>
        </w:rPr>
        <w:t xml:space="preserve">Definir prazo máximo de atendimento de garantia (recomendado: 15 dias corridos) e disponibilidade de peças de reposição (mínimo 24 meses).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Marco regulatório complementar</w:t>
      </w:r>
    </w:p>
    <w:p>
      <w:pPr>
        <w:spacing w:after="120" w:before="0" w:line="320"/>
      </w:pPr>
      <w:r>
        <w:rPr>
          <w:sz w:val="22"/>
          <w:szCs w:val="22"/>
        </w:rPr>
        <w:t xml:space="preserve">Além da Lei 14.133, atentar para: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Instrução Normativa SEGES/ME nº 65/2021 — pesquisa de preços.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Instrução Normativa SEGES/ME nº 58/2022 — elaboração do ETP no âmbito federal.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Decreto nº 10.024/2019 — pregão eletrônico (compatibilizado à 14.133).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Lei Complementar nº 123/2006 — preferência para microempresas e EPP (art. 4º da Lei 14.133).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Programa Nacional de Segurança do Paciente — Portaria GM/MS nº 529/2013 (justificativa).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Política Nacional de Educação Permanente em Saúde — Portaria GM/MS nº 198/2004.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Resoluções da CNRM da especialidade (matriz de competências).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Diretrizes Curriculares Nacionais do curso de Medicina — Resolução CNE/CES nº 3/2014.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9. Cronograma típico do processo</w:t>
      </w:r>
    </w:p>
    <w:p>
      <w:pPr>
        <w:spacing w:after="120" w:before="0" w:line="320"/>
      </w:pPr>
      <w:r>
        <w:rPr>
          <w:sz w:val="22"/>
          <w:szCs w:val="22"/>
        </w:rPr>
        <w:t xml:space="preserve">Estimativa de prazo médio (dias úteis) entre etapas, em órgão com maturidade média: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1526"/>
      </w:tblGrid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Etapa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Prazo típico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Acumulado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Elaboração do ETP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10-20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D+20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Pesquisa de preços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10-15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D+35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Elaboração do TR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5-10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D+45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Parecer jurídico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10-30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D+75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Edital (publicação + prazo legal)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8-15 dias úteis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D+90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Sessão de pregão + recursos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5-15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D+105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Adjudicação + homologação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3-7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D+112</w:t>
            </w:r>
          </w:p>
        </w:tc>
      </w:tr>
      <w:tr>
        <w:tc>
          <w:tcPr>
            <w:tcW w:type="dxa" w:w="5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Empenho + contrato + entrega (30-60 dias)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30-60 dias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D+172</w:t>
            </w:r>
          </w:p>
        </w:tc>
      </w:tr>
    </w:tbl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Total típico: 90 a 180 dias entre demanda formal e entrega definitiva. Para programas com restrição de prazo (acreditação MEC, abertura de ano letivo), planejar com 6 meses de antecedência.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10. Como acompanhar e gerenciar o contrato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10.1 Designação obrigatória de gestor e fiscais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Gestor do contrato: acompanha o ciclo completo (pagamento, alterações, encerramento).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Fiscal técnico: confere o objeto entregue contra o TR.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Fiscal administrativo: cuida da documentação.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10.2 Recebimento provisório e definitivo</w:t>
      </w:r>
    </w:p>
    <w:p>
      <w:pPr>
        <w:spacing w:after="120" w:before="0" w:line="320"/>
      </w:pPr>
      <w:r>
        <w:rPr>
          <w:sz w:val="22"/>
          <w:szCs w:val="22"/>
        </w:rPr>
        <w:t xml:space="preserve">Recebimento provisório em até 5 dias úteis (conferência quantitativa). Recebimento definitivo em até 15 dias úteis (teste qualitativo). Para material educacional, o teste qualitativo inclui: montagem, autoclavagem, funcionamento mecânico, integridade da embalagem.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10.3 Sanções por inadimplemento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Advertência.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Multa moratória (atraso) — cláusula contratual, usualmente 0,5% a 2% ao dia, limitada.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Multa compensatória (inadimplemento) — usualmente 10% a 30% do valor do contrato.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Suspensão temporária de licitar.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Declaração de inidoneidade.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10.4 Alterações contratuais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Quantitativas — até 25% do valor original (acréscimo) ou 50% no caso de reforma de equipamento.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Qualitativas — substituição justificada do objeto por equivalente ou superior.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Sempre formalizadas em termo aditivo, com parecer técnico e jurídico.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Lei nº 14.133/2021 aplicada à compra de material de treinamento médico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5C8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14.133/2021 aplicada à compra de material de treinamento médico — guia completo</dc:title>
  <dc:creator>Un-named</dc:creator>
  <dc:description>Guia operacional da Nova Lei de Licitações aplicada à aquisição de simulador, instrumental e material educacional para residência, ligas e laboratórios de habilidades.</dc:description>
  <cp:lastModifiedBy>Un-named</cp:lastModifiedBy>
  <cp:revision>1</cp:revision>
  <dcterms:created xsi:type="dcterms:W3CDTF">2026-05-12T23:25:23.693Z</dcterms:created>
  <dcterms:modified xsi:type="dcterms:W3CDTF">2026-05-12T23:25:23.712Z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