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b/>
          <w:bCs/>
          <w:color w:val="1F3A5F"/>
          <w:sz w:val="36"/>
          <w:szCs w:val="36"/>
        </w:rPr>
        <w:t xml:space="preserve">GLOSSÁRIO</w:t>
      </w:r>
    </w:p>
    <w:p>
      <w:pPr>
        <w:spacing w:after="200"/>
        <w:jc w:val="center"/>
      </w:pPr>
      <w:r>
        <w:rPr>
          <w:color w:val="2E5C8A"/>
          <w:sz w:val="28"/>
          <w:szCs w:val="28"/>
        </w:rPr>
        <w:t xml:space="preserve">Procurement em saúde — 85 termos</w:t>
      </w:r>
    </w:p>
    <w:p>
      <w:pPr>
        <w:spacing w:after="600"/>
        <w:jc w:val="center"/>
      </w:pPr>
      <w:r>
        <w:rPr>
          <w:i/>
          <w:iCs/>
          <w:color w:val="595959"/>
          <w:sz w:val="22"/>
          <w:szCs w:val="22"/>
        </w:rPr>
        <w:t xml:space="preserve">Lei 14.133/2021 · ANVISA · Pregão · Videolaparoscopia · Educação médica</w:t>
      </w:r>
    </w:p>
    <w:p>
      <w:pPr>
        <w:spacing w:after="200"/>
        <w:jc w:val="center"/>
      </w:pPr>
      <w:r>
        <w:rPr>
          <w:color w:val="595959"/>
          <w:sz w:val="22"/>
          <w:szCs w:val="22"/>
        </w:rPr>
        <w:t xml:space="preserve">Organizado em 9 categorias temáticas para consulta rápida.</w:t>
      </w:r>
    </w:p>
    <w:p>
      <w:r>
        <w:br w:type="page"/>
      </w:r>
    </w:p>
    <w:p>
      <w:pPr>
        <w:pBdr>
          <w:left w:val="single" w:color="F39C12" w:sz="24" w:space="8"/>
        </w:pBdr>
        <w:shd w:fill="FFF9E6" w:val="clear"/>
        <w:spacing w:after="200"/>
      </w:pPr>
      <w:r>
        <w:rPr>
          <w:b/>
          <w:bCs/>
          <w:color w:val="B86E00"/>
          <w:sz w:val="22"/>
          <w:szCs w:val="22"/>
        </w:rPr>
        <w:t xml:space="preserve">AVISO: </w:t>
      </w:r>
      <w:r>
        <w:rPr>
          <w:color w:val="5D4500"/>
          <w:sz w:val="20"/>
          <w:szCs w:val="20"/>
        </w:rPr>
        <w:t xml:space="preserve">Material informativo. As definições refletem boas práticas em maio/2026 e devem ser confirmadas conforme a vigência das normas no momento do uso. Não substitui consulta jurídica especializada.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Sumário</w:t>
      </w:r>
    </w:p>
    <w:p>
      <w:pPr>
        <w:spacing w:after="100" w:before="0" w:line="300"/>
      </w:pPr>
      <w:r>
        <w:rPr>
          <w:sz w:val="22"/>
          <w:szCs w:val="22"/>
        </w:rPr>
        <w:t xml:space="preserve">1. Lei 14.133/2021 e procedimentos</w:t>
      </w:r>
    </w:p>
    <w:p>
      <w:pPr>
        <w:spacing w:after="100" w:before="0" w:line="300"/>
      </w:pPr>
      <w:r>
        <w:rPr>
          <w:sz w:val="22"/>
          <w:szCs w:val="22"/>
        </w:rPr>
        <w:t xml:space="preserve">2. Modalidades e formas de contratação</w:t>
      </w:r>
    </w:p>
    <w:p>
      <w:pPr>
        <w:spacing w:after="100" w:before="0" w:line="300"/>
      </w:pPr>
      <w:r>
        <w:rPr>
          <w:sz w:val="22"/>
          <w:szCs w:val="22"/>
        </w:rPr>
        <w:t xml:space="preserve">3. Documentos e fases do processo</w:t>
      </w:r>
    </w:p>
    <w:p>
      <w:pPr>
        <w:spacing w:after="100" w:before="0" w:line="300"/>
      </w:pPr>
      <w:r>
        <w:rPr>
          <w:sz w:val="22"/>
          <w:szCs w:val="22"/>
        </w:rPr>
        <w:t xml:space="preserve">4. Atores e papéis</w:t>
      </w:r>
    </w:p>
    <w:p>
      <w:pPr>
        <w:spacing w:after="100" w:before="0" w:line="300"/>
      </w:pPr>
      <w:r>
        <w:rPr>
          <w:sz w:val="22"/>
          <w:szCs w:val="22"/>
        </w:rPr>
        <w:t xml:space="preserve">5. Sistemas, portais e códigos</w:t>
      </w:r>
    </w:p>
    <w:p>
      <w:pPr>
        <w:spacing w:after="100" w:before="0" w:line="300"/>
      </w:pPr>
      <w:r>
        <w:rPr>
          <w:sz w:val="22"/>
          <w:szCs w:val="22"/>
        </w:rPr>
        <w:t xml:space="preserve">6. Pesquisa de preços e cálculo</w:t>
      </w:r>
    </w:p>
    <w:p>
      <w:pPr>
        <w:spacing w:after="100" w:before="0" w:line="300"/>
      </w:pPr>
      <w:r>
        <w:rPr>
          <w:sz w:val="22"/>
          <w:szCs w:val="22"/>
        </w:rPr>
        <w:t xml:space="preserve">7. ANVISA e regulatório</w:t>
      </w:r>
    </w:p>
    <w:p>
      <w:pPr>
        <w:spacing w:after="100" w:before="0" w:line="300"/>
      </w:pPr>
      <w:r>
        <w:rPr>
          <w:sz w:val="22"/>
          <w:szCs w:val="22"/>
        </w:rPr>
        <w:t xml:space="preserve">8. Educação médica e residência</w:t>
      </w:r>
    </w:p>
    <w:p>
      <w:pPr>
        <w:spacing w:after="100" w:before="0" w:line="300"/>
      </w:pPr>
      <w:r>
        <w:rPr>
          <w:sz w:val="22"/>
          <w:szCs w:val="22"/>
        </w:rPr>
        <w:t xml:space="preserve">9. Laparoscopia e instrumental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0"/>
          <w:szCs w:val="30"/>
        </w:rPr>
        <w:t xml:space="preserve">1. Lei 14.133/2021 e procedimentos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Lei 14.133/2021 — </w:t>
      </w:r>
      <w:r>
        <w:rPr>
          <w:sz w:val="22"/>
          <w:szCs w:val="22"/>
        </w:rPr>
        <w:t xml:space="preserve">Nova Lei de Licitações e Contratos Administrativos. Substituiu integralmente a Lei nº 8.666/1993 e parcialmente a Lei do Pregão (10.520/2002) a partir de dezembro/2023. Aplica-se a todos os entes federados (União, Estados, Municípios, DF).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PCA (Plano de Contratações Anual) — </w:t>
      </w:r>
      <w:r>
        <w:rPr>
          <w:sz w:val="22"/>
          <w:szCs w:val="22"/>
        </w:rPr>
        <w:t xml:space="preserve">Documento de planejamento obrigatório que consolida todas as contratações previstas pelo órgão para o exercício seguinte. Base do art. 12, VII da Lei 14.133. Sem PCA, não há contratação regular — só extraordinária com justificativa.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ETP (Estudo Técnico Preliminar) — </w:t>
      </w:r>
      <w:r>
        <w:rPr>
          <w:sz w:val="22"/>
          <w:szCs w:val="22"/>
        </w:rPr>
        <w:t xml:space="preserve">Documento que precede a contratação e demonstra a viabilidade técnica, econômica e jurídica da aquisição. Base no art. 18 da Lei 14.133. Tem 11 seções obrigatórias quando não dispensável (art. 18, §2º).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TR (Termo de Referência) — </w:t>
      </w:r>
      <w:r>
        <w:rPr>
          <w:sz w:val="22"/>
          <w:szCs w:val="22"/>
        </w:rPr>
        <w:t xml:space="preserve">Documento que detalha o objeto, requisitos, modelo de execução e gestão do contrato. Base no art. 6º, XXIII e art. 40 da Lei 14.133. Sucede o ETP.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Anteprojeto — </w:t>
      </w:r>
      <w:r>
        <w:rPr>
          <w:sz w:val="22"/>
          <w:szCs w:val="22"/>
        </w:rPr>
        <w:t xml:space="preserve">Documento técnico que precede o projeto básico para obras e serviços de engenharia. Não se aplica a fornecimento de bens (que usa TR).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Projeto Básico — </w:t>
      </w:r>
      <w:r>
        <w:rPr>
          <w:sz w:val="22"/>
          <w:szCs w:val="22"/>
        </w:rPr>
        <w:t xml:space="preserve">Documento técnico obrigatório para obras e serviços de engenharia, com nível de detalhamento suficiente para licitação. Equivalente ao TR no escopo de bens.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Edital — </w:t>
      </w:r>
      <w:r>
        <w:rPr>
          <w:sz w:val="22"/>
          <w:szCs w:val="22"/>
        </w:rPr>
        <w:t xml:space="preserve">Documento público que comunica a abertura do certame e regula as condições da disputa. Publicado no PNCP.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Empenho (Nota de Empenho) — </w:t>
      </w:r>
      <w:r>
        <w:rPr>
          <w:sz w:val="22"/>
          <w:szCs w:val="22"/>
        </w:rPr>
        <w:t xml:space="preserve">Ato pelo qual a autoridade competente reserva dotação orçamentária para uma despesa. É o primeiro estágio da despesa pública (empenho → liquidação → pagamento).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Dotação orçamentária — </w:t>
      </w:r>
      <w:r>
        <w:rPr>
          <w:sz w:val="22"/>
          <w:szCs w:val="22"/>
        </w:rPr>
        <w:t xml:space="preserve">Recurso financeiro autorizado pelo orçamento (LOA) para uma despesa específica. Identificada por unidade, programa de trabalho, fonte e elemento.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Elemento de despesa 44.90.52 — </w:t>
      </w:r>
      <w:r>
        <w:rPr>
          <w:sz w:val="22"/>
          <w:szCs w:val="22"/>
        </w:rPr>
        <w:t xml:space="preserve">Classificação contábil para 'Equipamentos e Material Permanente' — categoria típica para simulador, instrumental educacional e equipamentos de laboratório.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Art. 41 da Lei 14.133 — </w:t>
      </w:r>
      <w:r>
        <w:rPr>
          <w:sz w:val="22"/>
          <w:szCs w:val="22"/>
        </w:rPr>
        <w:t xml:space="preserve">Veda especificação técnica que direcione marca/modelo, salvo justificativa técnica robusta. Núcleo da defesa contra TR restritivo.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IN SEGES/ME nº 65/2021 — </w:t>
      </w:r>
      <w:r>
        <w:rPr>
          <w:sz w:val="22"/>
          <w:szCs w:val="22"/>
        </w:rPr>
        <w:t xml:space="preserve">Instrução normativa que regulamenta a pesquisa de preços nas contratações federais. Exige no mínimo 3 fontes e tratamento estatístico (mediana/média saneada).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IN SEGES/ME nº 58/2022 — </w:t>
      </w:r>
      <w:r>
        <w:rPr>
          <w:sz w:val="22"/>
          <w:szCs w:val="22"/>
        </w:rPr>
        <w:t xml:space="preserve">Regulamenta a elaboração do ETP no âmbito federal. Estados e municípios costumam ter normativos próprios.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Modalidade — </w:t>
      </w:r>
      <w:r>
        <w:rPr>
          <w:sz w:val="22"/>
          <w:szCs w:val="22"/>
        </w:rPr>
        <w:t xml:space="preserve">Forma de procedimento licitatório (pregão, concorrência, concurso, leilão, diálogo competitivo). A modalidade é definida pelo objeto e valor.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Critério de julgamento — </w:t>
      </w:r>
      <w:r>
        <w:rPr>
          <w:sz w:val="22"/>
          <w:szCs w:val="22"/>
        </w:rPr>
        <w:t xml:space="preserve">Forma de classificar as propostas: menor preço, maior desconto, melhor técnica, técnica e preço, maior lance ou retorno econômico.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0"/>
          <w:szCs w:val="30"/>
        </w:rPr>
        <w:t xml:space="preserve">2. Modalidades e formas de contratação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Pregão eletrônico — </w:t>
      </w:r>
      <w:r>
        <w:rPr>
          <w:sz w:val="22"/>
          <w:szCs w:val="22"/>
        </w:rPr>
        <w:t xml:space="preserve">Modalidade preferencial para contratação de bens e serviços comuns (art. 6º, XLI, e art. 28 da Lei 14.133). Realizado integralmente em meio eletrônico no PNCP/Comprasnet.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Modo de disputa aberto — </w:t>
      </w:r>
      <w:r>
        <w:rPr>
          <w:sz w:val="22"/>
          <w:szCs w:val="22"/>
        </w:rPr>
        <w:t xml:space="preserve">Lances sucessivos e públicos durante o pregão. Padrão para pregão eletrônico de bens comuns.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Modo de disputa fechado — </w:t>
      </w:r>
      <w:r>
        <w:rPr>
          <w:sz w:val="22"/>
          <w:szCs w:val="22"/>
        </w:rPr>
        <w:t xml:space="preserve">Lance único e sigiloso. Mais usado em concorrências de obras.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Aberto-fechado — </w:t>
      </w:r>
      <w:r>
        <w:rPr>
          <w:sz w:val="22"/>
          <w:szCs w:val="22"/>
        </w:rPr>
        <w:t xml:space="preserve">Mista: aberto para classificação inicial, fechado para lance final entre os melhores colocados.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Dispensa de licitação (art. 75) — </w:t>
      </w:r>
      <w:r>
        <w:rPr>
          <w:sz w:val="22"/>
          <w:szCs w:val="22"/>
        </w:rPr>
        <w:t xml:space="preserve">Contratação direta sem certame, em hipóteses específicas (valor pequeno, emergência, exclusividade, dispensa por razão de Estado). Para bens, o limite por valor é de aprox. R$ 59 mil (atualizado anualmente).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Inexigibilidade (art. 74) — </w:t>
      </w:r>
      <w:r>
        <w:rPr>
          <w:sz w:val="22"/>
          <w:szCs w:val="22"/>
        </w:rPr>
        <w:t xml:space="preserve">Contratação direta quando há inviabilidade de competição (fornecedor único, serviços técnicos especializados, profissional notório).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SRP (Sistema de Registro de Preços) — </w:t>
      </w:r>
      <w:r>
        <w:rPr>
          <w:sz w:val="22"/>
          <w:szCs w:val="22"/>
        </w:rPr>
        <w:t xml:space="preserve">Procedimento que registra preços para futuras contratações sem obrigação imediata de adquirir. Útil para itens de uso recorrente.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Ata de Registro de Preços — </w:t>
      </w:r>
      <w:r>
        <w:rPr>
          <w:sz w:val="22"/>
          <w:szCs w:val="22"/>
        </w:rPr>
        <w:t xml:space="preserve">Documento gerado pelo SRP que vincula o fornecedor à entrega futura. Vigência típica de 12 meses, prorrogável uma vez por mais 12.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0"/>
          <w:szCs w:val="30"/>
        </w:rPr>
        <w:t xml:space="preserve">3. Documentos e fases do processo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Processo administrativo — </w:t>
      </w:r>
      <w:r>
        <w:rPr>
          <w:sz w:val="22"/>
          <w:szCs w:val="22"/>
        </w:rPr>
        <w:t xml:space="preserve">Conjunto sistemático de documentos que registra todas as fases da contratação. Numerado e arquivado conforme normas do órgão.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Memorando — </w:t>
      </w:r>
      <w:r>
        <w:rPr>
          <w:sz w:val="22"/>
          <w:szCs w:val="22"/>
        </w:rPr>
        <w:t xml:space="preserve">Documento interno que solicita uma providência ou comunica uma decisão. Origem habitual da demanda de contratação.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Habilitação — </w:t>
      </w:r>
      <w:r>
        <w:rPr>
          <w:sz w:val="22"/>
          <w:szCs w:val="22"/>
        </w:rPr>
        <w:t xml:space="preserve">Fase do certame em que o licitante demonstra atender aos requisitos jurídicos, fiscais, sociais, trabalhistas, econômico-financeiros e técnicos (arts. 62 a 70).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Atestado de Capacidade Técnica (ACT) — </w:t>
      </w:r>
      <w:r>
        <w:rPr>
          <w:sz w:val="22"/>
          <w:szCs w:val="22"/>
        </w:rPr>
        <w:t xml:space="preserve">Documento emitido por entidade pública ou privada que comprova que o licitante já forneceu objeto semelhante ao licitado. Costuma exigir 50% do quantitativo do objeto.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Habilitação Jurídica — </w:t>
      </w:r>
      <w:r>
        <w:rPr>
          <w:sz w:val="22"/>
          <w:szCs w:val="22"/>
        </w:rPr>
        <w:t xml:space="preserve">Conjunto de documentos societários do licitante (contrato social, CNPJ, alvará).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Habilitação Fiscal — </w:t>
      </w:r>
      <w:r>
        <w:rPr>
          <w:sz w:val="22"/>
          <w:szCs w:val="22"/>
        </w:rPr>
        <w:t xml:space="preserve">Certidões negativas (CND federal, estadual, municipal, FGTS, trabalhista).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Impugnação ao edital — </w:t>
      </w:r>
      <w:r>
        <w:rPr>
          <w:sz w:val="22"/>
          <w:szCs w:val="22"/>
        </w:rPr>
        <w:t xml:space="preserve">Pedido formal de revisão de cláusula do edital antes da abertura, fundamentado em ilegalidade ou restritividade. Prazo: até 3 dias úteis antes da sessão.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Recurso — </w:t>
      </w:r>
      <w:r>
        <w:rPr>
          <w:sz w:val="22"/>
          <w:szCs w:val="22"/>
        </w:rPr>
        <w:t xml:space="preserve">Pedido formal de revisão de decisão proferida durante o certame (classificação, habilitação, julgamento). Prazo de manifestação imediato na sessão; razões em até 3 dias úteis.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Adjudicação — </w:t>
      </w:r>
      <w:r>
        <w:rPr>
          <w:sz w:val="22"/>
          <w:szCs w:val="22"/>
        </w:rPr>
        <w:t xml:space="preserve">Ato que atribui ao vencedor o objeto da licitação. Antecede a homologação.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Homologação — </w:t>
      </w:r>
      <w:r>
        <w:rPr>
          <w:sz w:val="22"/>
          <w:szCs w:val="22"/>
        </w:rPr>
        <w:t xml:space="preserve">Ato da autoridade competente que confirma a regularidade do procedimento e autoriza a contratação.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0"/>
          <w:szCs w:val="30"/>
        </w:rPr>
        <w:t xml:space="preserve">4. Atores e papéis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Pregoeiro — </w:t>
      </w:r>
      <w:r>
        <w:rPr>
          <w:sz w:val="22"/>
          <w:szCs w:val="22"/>
        </w:rPr>
        <w:t xml:space="preserve">Servidor designado para conduzir a sessão de pregão. Substituído nas modalidades não-pregão pelo Agente de Contratação.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Agente de Contratação — </w:t>
      </w:r>
      <w:r>
        <w:rPr>
          <w:sz w:val="22"/>
          <w:szCs w:val="22"/>
        </w:rPr>
        <w:t xml:space="preserve">Função criada pela Lei 14.133 para conduzir as fases da licitação. No pregão, equivale ao pregoeiro.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Equipe de apoio — </w:t>
      </w:r>
      <w:r>
        <w:rPr>
          <w:sz w:val="22"/>
          <w:szCs w:val="22"/>
        </w:rPr>
        <w:t xml:space="preserve">Servidores que apoiam o pregoeiro/agente de contratação na condução do certame.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Autoridade competente — </w:t>
      </w:r>
      <w:r>
        <w:rPr>
          <w:sz w:val="22"/>
          <w:szCs w:val="22"/>
        </w:rPr>
        <w:t xml:space="preserve">Servidor com competência legal para autorizar a abertura do processo, homologar resultado e assinar o contrato. Em universidades, costuma ser o Reitor ou Pró-Reitor delegado.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Gestor do contrato — </w:t>
      </w:r>
      <w:r>
        <w:rPr>
          <w:sz w:val="22"/>
          <w:szCs w:val="22"/>
        </w:rPr>
        <w:t xml:space="preserve">Responsável pelo acompanhamento global do contrato após a assinatura: pagamento, prorrogação, alterações, encerramento.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Fiscal técnico do contrato — </w:t>
      </w:r>
      <w:r>
        <w:rPr>
          <w:sz w:val="22"/>
          <w:szCs w:val="22"/>
        </w:rPr>
        <w:t xml:space="preserve">Servidor responsável pela conferência técnica do objeto entregue (conformidade com especificação).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Fiscal administrativo do contrato — </w:t>
      </w:r>
      <w:r>
        <w:rPr>
          <w:sz w:val="22"/>
          <w:szCs w:val="22"/>
        </w:rPr>
        <w:t xml:space="preserve">Servidor responsável por documentação contratual, certidões, prazos.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Comissão de recebimento — </w:t>
      </w:r>
      <w:r>
        <w:rPr>
          <w:sz w:val="22"/>
          <w:szCs w:val="22"/>
        </w:rPr>
        <w:t xml:space="preserve">Colegiado (mín. 3 servidores) que recebe o objeto definitivamente, mediante teste qualitativo.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0"/>
          <w:szCs w:val="30"/>
        </w:rPr>
        <w:t xml:space="preserve">5. Sistemas, portais e códigos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PNCP (Portal Nacional de Contratações Públicas) — </w:t>
      </w:r>
      <w:r>
        <w:rPr>
          <w:sz w:val="22"/>
          <w:szCs w:val="22"/>
        </w:rPr>
        <w:t xml:space="preserve">Sítio eletrônico oficial obrigatório para publicidade de editais, atas, contratos e demais atos do processo. Acesso em pncp.gov.br.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Comprasnet — </w:t>
      </w:r>
      <w:r>
        <w:rPr>
          <w:sz w:val="22"/>
          <w:szCs w:val="22"/>
        </w:rPr>
        <w:t xml:space="preserve">Sistema federal de pregão eletrônico, parte do gov.br/compras. Estados e municípios podem usar plataformas próprias (BEC-SP, Compras Paraná, etc.).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SIASG — </w:t>
      </w:r>
      <w:r>
        <w:rPr>
          <w:sz w:val="22"/>
          <w:szCs w:val="22"/>
        </w:rPr>
        <w:t xml:space="preserve">Sistema Integrado de Administração de Serviços Gerais — base de gestão de compras do Governo Federal.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Painel de Preços (gov.br) — </w:t>
      </w:r>
      <w:r>
        <w:rPr>
          <w:sz w:val="22"/>
          <w:szCs w:val="22"/>
        </w:rPr>
        <w:t xml:space="preserve">Banco público de preços históricos de contratações federais, usado em pesquisa de preços.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CATMAT — </w:t>
      </w:r>
      <w:r>
        <w:rPr>
          <w:sz w:val="22"/>
          <w:szCs w:val="22"/>
        </w:rPr>
        <w:t xml:space="preserve">Catálogo de Materiais do Governo Federal — identifica itens de material por código único. Obrigatório informar no edital federal.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CATSER — </w:t>
      </w:r>
      <w:r>
        <w:rPr>
          <w:sz w:val="22"/>
          <w:szCs w:val="22"/>
        </w:rPr>
        <w:t xml:space="preserve">Catálogo de Serviços do Governo Federal — equivalente ao CATMAT para serviços.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UASG (Unidade Administrativa de Serviços Gerais) — </w:t>
      </w:r>
      <w:r>
        <w:rPr>
          <w:sz w:val="22"/>
          <w:szCs w:val="22"/>
        </w:rPr>
        <w:t xml:space="preserve">Identificador da unidade compradora no SIASG. Equivalente ao 'CNPJ' do órgão para o sistema de compras.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BPS — </w:t>
      </w:r>
      <w:r>
        <w:rPr>
          <w:sz w:val="22"/>
          <w:szCs w:val="22"/>
        </w:rPr>
        <w:t xml:space="preserve">Banco de Preços em Saúde do Ministério da Saúde — fonte adicional de pesquisa de preços para itens da saúde pública.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0"/>
          <w:szCs w:val="30"/>
        </w:rPr>
        <w:t xml:space="preserve">6. Pesquisa de preços e cálculo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Pesquisa de preços — </w:t>
      </w:r>
      <w:r>
        <w:rPr>
          <w:sz w:val="22"/>
          <w:szCs w:val="22"/>
        </w:rPr>
        <w:t xml:space="preserve">Levantamento que fundamenta a estimativa de valor da contratação. Mínimo 3 fontes, conforme art. 23 e IN SEGES 65/2021.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Fonte de pesquisa — </w:t>
      </w:r>
      <w:r>
        <w:rPr>
          <w:sz w:val="22"/>
          <w:szCs w:val="22"/>
        </w:rPr>
        <w:t xml:space="preserve">Origem de cada cotação: cotação direta com fornecedor, PNCP, Painel de Preços, BPS, mercado privado, sites especializados.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Mediana — </w:t>
      </w:r>
      <w:r>
        <w:rPr>
          <w:sz w:val="22"/>
          <w:szCs w:val="22"/>
        </w:rPr>
        <w:t xml:space="preserve">Valor central dos preços ordenados. Reduz o impacto de outliers. Cálculo recomendado pela IN SEGES 65/2021.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Média saneada — </w:t>
      </w:r>
      <w:r>
        <w:rPr>
          <w:sz w:val="22"/>
          <w:szCs w:val="22"/>
        </w:rPr>
        <w:t xml:space="preserve">Média aritmética após exclusão de valores muito acima/abaixo (saneamento de outliers). Alternativa à mediana.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Outlier (ponto fora da curva) — </w:t>
      </w:r>
      <w:r>
        <w:rPr>
          <w:sz w:val="22"/>
          <w:szCs w:val="22"/>
        </w:rPr>
        <w:t xml:space="preserve">Valor muito distante dos demais que distorce a média. Deve ser saneado com critério técnico explícito.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Cotação direta — </w:t>
      </w:r>
      <w:r>
        <w:rPr>
          <w:sz w:val="22"/>
          <w:szCs w:val="22"/>
        </w:rPr>
        <w:t xml:space="preserve">Pedido formal ao fornecedor para apresentar preço para o objeto. Validade típica: 30-90 dias.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Mapa comparativo de preços — </w:t>
      </w:r>
      <w:r>
        <w:rPr>
          <w:sz w:val="22"/>
          <w:szCs w:val="22"/>
        </w:rPr>
        <w:t xml:space="preserve">Tabela que consolida todas as fontes da pesquisa, calcula mediana/média saneada e justifica o valor final estimado.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0"/>
          <w:szCs w:val="30"/>
        </w:rPr>
        <w:t xml:space="preserve">7. ANVISA e regulatório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ANVISA — </w:t>
      </w:r>
      <w:r>
        <w:rPr>
          <w:sz w:val="22"/>
          <w:szCs w:val="22"/>
        </w:rPr>
        <w:t xml:space="preserve">Agência Nacional de Vigilância Sanitária. Regula dispositivos médicos destinados a uso em paciente. NÃO regula material exclusivamente educacional.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Dispositivo médico — </w:t>
      </w:r>
      <w:r>
        <w:rPr>
          <w:sz w:val="22"/>
          <w:szCs w:val="22"/>
        </w:rPr>
        <w:t xml:space="preserve">Produto destinado a uso em paciente humano para fins diagnóstico, terapêutico, monitoramento ou prevenção. Submetido a registro/notificação ANVISA.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Equipamento educacional — </w:t>
      </w:r>
      <w:r>
        <w:rPr>
          <w:sz w:val="22"/>
          <w:szCs w:val="22"/>
        </w:rPr>
        <w:t xml:space="preserve">Produto destinado exclusivamente a treinamento, simulação ou ensino — NÃO destinado a paciente. Fora do escopo regulatório da ANVISA.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RDC 185/2001 — </w:t>
      </w:r>
      <w:r>
        <w:rPr>
          <w:sz w:val="22"/>
          <w:szCs w:val="22"/>
        </w:rPr>
        <w:t xml:space="preserve">Regulamento técnico que define registro de dispositivos médicos. NÃO aplicável a material educacional.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RDC 56/2001 — </w:t>
      </w:r>
      <w:r>
        <w:rPr>
          <w:sz w:val="22"/>
          <w:szCs w:val="22"/>
        </w:rPr>
        <w:t xml:space="preserve">Requisitos essenciais de segurança e eficácia para dispositivos médicos. NÃO aplicável a material educacional.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RDC 59/2000 — </w:t>
      </w:r>
      <w:r>
        <w:rPr>
          <w:sz w:val="22"/>
          <w:szCs w:val="22"/>
        </w:rPr>
        <w:t xml:space="preserve">Boas práticas de fabricação de dispositivos médicos. NÃO aplicável a material educacional.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RDC 751/2022 — </w:t>
      </w:r>
      <w:r>
        <w:rPr>
          <w:sz w:val="22"/>
          <w:szCs w:val="22"/>
        </w:rPr>
        <w:t xml:space="preserve">Regulamentação consolidada de produtos para saúde da ANVISA — vigente. Reafirma o escopo restrito a produtos destinados a uso em paciente.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Notificação ANVISA — </w:t>
      </w:r>
      <w:r>
        <w:rPr>
          <w:sz w:val="22"/>
          <w:szCs w:val="22"/>
        </w:rPr>
        <w:t xml:space="preserve">Procedimento simplificado para produtos de classe I/II (risco menor). Aplica-se a dispositivos, NÃO a educacional.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Classes de risco (I, II, III, IV) — </w:t>
      </w:r>
      <w:r>
        <w:rPr>
          <w:sz w:val="22"/>
          <w:szCs w:val="22"/>
        </w:rPr>
        <w:t xml:space="preserve">Classificação de dispositivos médicos da ANVISA conforme risco crescente. Define exigências regulatórias.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Programa Nacional de Segurança do Paciente (PNSP) — </w:t>
      </w:r>
      <w:r>
        <w:rPr>
          <w:sz w:val="22"/>
          <w:szCs w:val="22"/>
        </w:rPr>
        <w:t xml:space="preserve">Política pública (Portaria GM/MS nº 529/2013) que reconhece treinamento prévio como medida de prevenção a eventos adversos.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0"/>
          <w:szCs w:val="30"/>
        </w:rPr>
        <w:t xml:space="preserve">8. Educação médica e residência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Residência médica — </w:t>
      </w:r>
      <w:r>
        <w:rPr>
          <w:sz w:val="22"/>
          <w:szCs w:val="22"/>
        </w:rPr>
        <w:t xml:space="preserve">Modalidade de pós-graduação lato sensu em serviço, regulamentada pela Lei nº 6.932/1981 e Comissão Nacional de Residência Médica (CNRM).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CNRM (Comissão Nacional de Residência Médica) — </w:t>
      </w:r>
      <w:r>
        <w:rPr>
          <w:sz w:val="22"/>
          <w:szCs w:val="22"/>
        </w:rPr>
        <w:t xml:space="preserve">Órgão do MEC responsável por regulamentar, avaliar e credenciar programas de residência médica. Publica resoluções por especialidade.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Matriz de competências — </w:t>
      </w:r>
      <w:r>
        <w:rPr>
          <w:sz w:val="22"/>
          <w:szCs w:val="22"/>
        </w:rPr>
        <w:t xml:space="preserve">Conjunto de habilidades técnicas e atitudinais que o residente deve dominar ao final do programa, definido por Resolução da CNRM da especialidade.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DCN (Diretrizes Curriculares Nacionais) — </w:t>
      </w:r>
      <w:r>
        <w:rPr>
          <w:sz w:val="22"/>
          <w:szCs w:val="22"/>
        </w:rPr>
        <w:t xml:space="preserve">Documento do MEC que define o conteúdo mínimo dos cursos de graduação. Para Medicina: Resolução CNE/CES nº 3/2014.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SINAES — </w:t>
      </w:r>
      <w:r>
        <w:rPr>
          <w:sz w:val="22"/>
          <w:szCs w:val="22"/>
        </w:rPr>
        <w:t xml:space="preserve">Sistema Nacional de Avaliação da Educação Superior. Avalia cursos, instituições e estudantes. Lab de simulação é item observado.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PDI (Plano de Desenvolvimento Institucional) — </w:t>
      </w:r>
      <w:r>
        <w:rPr>
          <w:sz w:val="22"/>
          <w:szCs w:val="22"/>
        </w:rPr>
        <w:t xml:space="preserve">Documento de planejamento estratégico da IES, exigido pelo MEC. Suporta a fundamentação do ETP.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EBSERH — </w:t>
      </w:r>
      <w:r>
        <w:rPr>
          <w:sz w:val="22"/>
          <w:szCs w:val="22"/>
        </w:rPr>
        <w:t xml:space="preserve">Empresa Brasileira de Serviços Hospitalares — gerencia hospitais universitários federais. Tem regulamento próprio de compras complementar à 14.133.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IFES (Instituição Federal de Ensino Superior) — </w:t>
      </w:r>
      <w:r>
        <w:rPr>
          <w:sz w:val="22"/>
          <w:szCs w:val="22"/>
        </w:rPr>
        <w:t xml:space="preserve">Universidades e institutos federais. Regem-se pela Lei 14.133 em compras.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Liga acadêmica — </w:t>
      </w:r>
      <w:r>
        <w:rPr>
          <w:sz w:val="22"/>
          <w:szCs w:val="22"/>
        </w:rPr>
        <w:t xml:space="preserve">Organização estudantil de aprofundamento em especialidade. Costuma operar via convênio com fundação de apoio para compras.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PNEPS — </w:t>
      </w:r>
      <w:r>
        <w:rPr>
          <w:sz w:val="22"/>
          <w:szCs w:val="22"/>
        </w:rPr>
        <w:t xml:space="preserve">Política Nacional de Educação Permanente em Saúde (Portaria GM/MS nº 198/2004) — referência para fundamentar treinamento no SUS.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0"/>
          <w:szCs w:val="30"/>
        </w:rPr>
        <w:t xml:space="preserve">9. Laparoscopia e instrumental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Videolaparoscopia (laparoscopia) — </w:t>
      </w:r>
      <w:r>
        <w:rPr>
          <w:sz w:val="22"/>
          <w:szCs w:val="22"/>
        </w:rPr>
        <w:t xml:space="preserve">Cirurgia minimamente invasiva realizada com instrumental fino através de trocartes inseridos por pequenas incisões abdominais.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Trocarte — </w:t>
      </w:r>
      <w:r>
        <w:rPr>
          <w:sz w:val="22"/>
          <w:szCs w:val="22"/>
        </w:rPr>
        <w:t xml:space="preserve">Cânula com mandril que cria o canal de acesso à cavidade. Diâmetros usuais: 3mm, 5mm, 10mm, 12mm.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Endotrainer (caixa de treinamento) — </w:t>
      </w:r>
      <w:r>
        <w:rPr>
          <w:sz w:val="22"/>
          <w:szCs w:val="22"/>
        </w:rPr>
        <w:t xml:space="preserve">Simulador físico em formato de caixa que simula a cavidade abdominal. Permite treinar habilidades motoras com instrumental real.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Dry lab — </w:t>
      </w:r>
      <w:r>
        <w:rPr>
          <w:sz w:val="22"/>
          <w:szCs w:val="22"/>
        </w:rPr>
        <w:t xml:space="preserve">Laboratório de simulação 'seca' — sem material biológico. Usa endotrainer, simuladores virtuais, modelos sintéticos.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Wet lab — </w:t>
      </w:r>
      <w:r>
        <w:rPr>
          <w:sz w:val="22"/>
          <w:szCs w:val="22"/>
        </w:rPr>
        <w:t xml:space="preserve">Laboratório com material biológico (cadáver, peças animais). Mais realista, exige infraestrutura e biossegurança.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Sutura intracorpórea — </w:t>
      </w:r>
      <w:r>
        <w:rPr>
          <w:sz w:val="22"/>
          <w:szCs w:val="22"/>
        </w:rPr>
        <w:t xml:space="preserve">Técnica avançada de sutura realizada inteiramente dentro da cavidade laparoscópica. Habilidade-chave em videocirurgia.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FLS (Fundamentals of Laparoscopic Surgery) — </w:t>
      </w:r>
      <w:r>
        <w:rPr>
          <w:sz w:val="22"/>
          <w:szCs w:val="22"/>
        </w:rPr>
        <w:t xml:space="preserve">Programa de certificação em habilidades laparoscópicas do American College of Surgeons. Referência internacional.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OSATS / GOALS — </w:t>
      </w:r>
      <w:r>
        <w:rPr>
          <w:sz w:val="22"/>
          <w:szCs w:val="22"/>
        </w:rPr>
        <w:t xml:space="preserve">Escalas validadas de avaliação objetiva de habilidades cirúrgicas. OSATS = Objective Structured Assessment of Technical Skills.</w:t>
      </w:r>
    </w:p>
    <w:p>
      <w:pPr>
        <w:spacing w:after="140" w:line="300"/>
      </w:pPr>
      <w:r>
        <w:rPr>
          <w:b/>
          <w:bCs/>
          <w:color w:val="1F3A5F"/>
          <w:sz w:val="22"/>
          <w:szCs w:val="22"/>
        </w:rPr>
        <w:t xml:space="preserve">Aço inoxidável austenítico grau médico — </w:t>
      </w:r>
      <w:r>
        <w:rPr>
          <w:sz w:val="22"/>
          <w:szCs w:val="22"/>
        </w:rPr>
        <w:t xml:space="preserve">Liga metálica padrão para instrumental cirúrgico — alta resistência à corrosão e ao processo de autoclavagem repetida.</w:t>
      </w:r>
    </w:p>
    <w:p>
      <w:pPr>
        <w:spacing w:after="300" w:before="400"/>
        <w:jc w:val="center"/>
      </w:pPr>
      <w:r>
        <w:rPr>
          <w:i/>
          <w:iCs/>
          <w:color w:val="808080"/>
          <w:sz w:val="18"/>
          <w:szCs w:val="18"/>
        </w:rPr>
        <w:t xml:space="preserve">— Fim do glossário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Página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08080"/>
        <w:sz w:val="18"/>
        <w:szCs w:val="18"/>
      </w:rPr>
      <w:t xml:space="preserve"> de </w:t>
    </w:r>
    <w:r>
      <w:rPr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08080"/>
        <w:sz w:val="18"/>
        <w:szCs w:val="18"/>
      </w:rPr>
      <w:t xml:space="preserve">Glossário de procurement em saúde — Lei nº 14.133/2021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F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Calibri" w:cs="Calibri" w:eastAsia="Calibri" w:hAnsi="Calibri"/>
      <w:b/>
      <w:bCs/>
      <w:color w:val="1F3A5F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Glossário de procurement em saúde — Lei 14.133, ANVISA, pregão e videolaparoscopia</dc:title>
  <dc:creator>Un-named</dc:creator>
  <dc:description>Glossário com 85 termos do procurement em saúde aplicado a material de treinamento médico-acadêmico.</dc:description>
  <cp:lastModifiedBy>Un-named</cp:lastModifiedBy>
  <cp:revision>1</cp:revision>
  <dcterms:created xsi:type="dcterms:W3CDTF">2026-05-12T23:04:20.399Z</dcterms:created>
  <dcterms:modified xsi:type="dcterms:W3CDTF">2026-05-12T23:04:20.408Z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