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3A5F"/>
          <w:sz w:val="48"/>
          <w:szCs w:val="48"/>
        </w:rPr>
        <w:t xml:space="preserve">FAQ</w:t>
      </w:r>
    </w:p>
    <w:p>
      <w:pPr>
        <w:spacing w:after="200"/>
        <w:jc w:val="center"/>
      </w:pPr>
      <w:r>
        <w:rPr>
          <w:color w:val="2E5C8A"/>
          <w:sz w:val="26"/>
          <w:szCs w:val="26"/>
        </w:rPr>
        <w:t xml:space="preserve">Aquisição de material de treinamento médico via pregão</w:t>
      </w:r>
    </w:p>
    <w:p>
      <w:pPr>
        <w:spacing w:after="600"/>
        <w:jc w:val="center"/>
      </w:pPr>
      <w:r>
        <w:rPr>
          <w:i/>
          <w:iCs/>
          <w:color w:val="595959"/>
          <w:sz w:val="22"/>
          <w:szCs w:val="22"/>
        </w:rPr>
        <w:t xml:space="preserve">30 perguntas em 6 categorias</w:t>
      </w:r>
    </w:p>
    <w:p>
      <w:r>
        <w:br w:type="page"/>
      </w:r>
    </w:p>
    <w:p>
      <w:pPr>
        <w:pBdr>
          <w:left w:val="single" w:color="F39C12" w:sz="24" w:space="8"/>
        </w:pBdr>
        <w:shd w:fill="FFF9E6" w:val="clear"/>
        <w:spacing w:after="200"/>
      </w:pPr>
      <w:r>
        <w:rPr>
          <w:b/>
          <w:bCs/>
          <w:color w:val="B86E00"/>
          <w:sz w:val="22"/>
          <w:szCs w:val="22"/>
        </w:rPr>
        <w:t xml:space="preserve">AVISO: </w:t>
      </w:r>
      <w:r>
        <w:rPr>
          <w:color w:val="5D4500"/>
          <w:sz w:val="20"/>
          <w:szCs w:val="20"/>
        </w:rPr>
        <w:t xml:space="preserve">Material informativo. As respostas refletem boas práticas em maio/2026 e devem ser confirmadas conforme vigência das normas. Não substitui consulta jurídica especializada.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Sumário</w:t>
      </w:r>
    </w:p>
    <w:p>
      <w:pPr>
        <w:spacing w:after="120" w:before="0" w:line="320"/>
      </w:pPr>
      <w:r>
        <w:rPr>
          <w:sz w:val="22"/>
          <w:szCs w:val="22"/>
        </w:rPr>
        <w:t xml:space="preserve">Categoria 1 — Regulatório (ANVISA, RDC)</w:t>
      </w:r>
    </w:p>
    <w:p>
      <w:pPr>
        <w:spacing w:after="120" w:before="0" w:line="320"/>
      </w:pPr>
      <w:r>
        <w:rPr>
          <w:sz w:val="22"/>
          <w:szCs w:val="22"/>
        </w:rPr>
        <w:t xml:space="preserve">Categoria 2 — Lei 14.133 e modalidade</w:t>
      </w:r>
    </w:p>
    <w:p>
      <w:pPr>
        <w:spacing w:after="120" w:before="0" w:line="320"/>
      </w:pPr>
      <w:r>
        <w:rPr>
          <w:sz w:val="22"/>
          <w:szCs w:val="22"/>
        </w:rPr>
        <w:t xml:space="preserve">Categoria 3 — Especificação e descritivo</w:t>
      </w:r>
    </w:p>
    <w:p>
      <w:pPr>
        <w:spacing w:after="120" w:before="0" w:line="320"/>
      </w:pPr>
      <w:r>
        <w:rPr>
          <w:sz w:val="22"/>
          <w:szCs w:val="22"/>
        </w:rPr>
        <w:t xml:space="preserve">Categoria 4 — Habilitação e atestados</w:t>
      </w:r>
    </w:p>
    <w:p>
      <w:pPr>
        <w:spacing w:after="120" w:before="0" w:line="320"/>
      </w:pPr>
      <w:r>
        <w:rPr>
          <w:sz w:val="22"/>
          <w:szCs w:val="22"/>
        </w:rPr>
        <w:t xml:space="preserve">Categoria 5 — Pesquisa de preços e CATMAT</w:t>
      </w:r>
    </w:p>
    <w:p>
      <w:pPr>
        <w:spacing w:after="120" w:before="0" w:line="320"/>
      </w:pPr>
      <w:r>
        <w:rPr>
          <w:sz w:val="22"/>
          <w:szCs w:val="22"/>
        </w:rPr>
        <w:t xml:space="preserve">Categoria 6 — Contrato e gestão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Categoria 1 — Regulatório (ANVISA, RDC)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1. Material de treinamento médico precisa de registro ANVISA?</w:t>
      </w:r>
    </w:p>
    <w:p>
      <w:pPr>
        <w:spacing w:after="140" w:line="300"/>
      </w:pPr>
      <w:r>
        <w:rPr>
          <w:sz w:val="22"/>
          <w:szCs w:val="22"/>
        </w:rPr>
        <w:t xml:space="preserve">Não. Material exclusivamente educacional, identificado como tal em rotulagem e embalagem, está fora do escopo regulatório da ANVISA (RDC 751/2022). Registro ANVISA aplica-se a produtos destinados a uso em paciente humano — não é o caso.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2. Posso exigir registro ANVISA no edital de material educacional?</w:t>
      </w:r>
    </w:p>
    <w:p>
      <w:pPr>
        <w:spacing w:after="140" w:line="300"/>
      </w:pPr>
      <w:r>
        <w:rPr>
          <w:sz w:val="22"/>
          <w:szCs w:val="22"/>
        </w:rPr>
        <w:t xml:space="preserve">Não recomendado. A exigência torna o edital restritivo e contraria o art. 41 da Lei 14.133. Caso o licitante seja excluído por falta de registro inaplicável, há fundamento para impugnação.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3. Como demonstrar a finalidade educacional do produto?</w:t>
      </w:r>
    </w:p>
    <w:p>
      <w:pPr>
        <w:spacing w:after="140" w:line="300"/>
      </w:pPr>
      <w:r>
        <w:rPr>
          <w:sz w:val="22"/>
          <w:szCs w:val="22"/>
        </w:rPr>
        <w:t xml:space="preserve">Identificação clara em rotulagem e embalagem ("USO EDUCACIONAL — NÃO DESTINADO A PACIENTE") + declaração formal do fabricante incluída no processo administrativo.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4. RDC 185/2001, 56/2001 ou 59/2000 aplicam-se a material educacional?</w:t>
      </w:r>
    </w:p>
    <w:p>
      <w:pPr>
        <w:spacing w:after="140" w:line="300"/>
      </w:pPr>
      <w:r>
        <w:rPr>
          <w:sz w:val="22"/>
          <w:szCs w:val="22"/>
        </w:rPr>
        <w:t xml:space="preserve">Não. Todas as três aplicam-se a dispositivos médicos destinados a paciente. Material educacional não é dispositivo médico para fins regulatórios.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5. Esterilidade é obrigatória para material educacional?</w:t>
      </w:r>
    </w:p>
    <w:p>
      <w:pPr>
        <w:spacing w:after="140" w:line="300"/>
      </w:pPr>
      <w:r>
        <w:rPr>
          <w:sz w:val="22"/>
          <w:szCs w:val="22"/>
        </w:rPr>
        <w:t xml:space="preserve">Não obrigatória. O material é autoclavável (por boas práticas pedagógicas — facilita reuso), mas não precisa ser fornecido estéril.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Categoria 2 — Lei 14.133 e modalidade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6. Qual modalidade usar para comprar material de treinamento?</w:t>
      </w:r>
    </w:p>
    <w:p>
      <w:pPr>
        <w:spacing w:after="140" w:line="300"/>
      </w:pPr>
      <w:r>
        <w:rPr>
          <w:sz w:val="22"/>
          <w:szCs w:val="22"/>
        </w:rPr>
        <w:t xml:space="preserve">Pregão eletrônico é a modalidade preferencial para bens comuns (art. 28 da Lei 14.133). Para valor pequeno (até ~R$ 59.906 em 2026), cabe dispensa (art. 75, II).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7. Cabe ME/EPP exclusiva para material de treinamento?</w:t>
      </w:r>
    </w:p>
    <w:p>
      <w:pPr>
        <w:spacing w:after="140" w:line="300"/>
      </w:pPr>
      <w:r>
        <w:rPr>
          <w:sz w:val="22"/>
          <w:szCs w:val="22"/>
        </w:rPr>
        <w:t xml:space="preserve">Pode caber, conforme análise de mercado e conformidade à LC 123/2006. Verifique se há pluralidade suficiente de ME/EPP fornecedoras antes de optar pela exclusividade.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8. Posso usar SRP (Sistema de Registro de Preços) para compras anuais?</w:t>
      </w:r>
    </w:p>
    <w:p>
      <w:pPr>
        <w:spacing w:after="140" w:line="300"/>
      </w:pPr>
      <w:r>
        <w:rPr>
          <w:sz w:val="22"/>
          <w:szCs w:val="22"/>
        </w:rPr>
        <w:t xml:space="preserve">Sim. Especialmente recomendado quando há uso recorrente (consumíveis, expansão progressiva do laboratório). Ata vale 12 meses, prorrogável.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9. Preciso fazer ETP mesmo em dispensa?</w:t>
      </w:r>
    </w:p>
    <w:p>
      <w:pPr>
        <w:spacing w:after="140" w:line="300"/>
      </w:pPr>
      <w:r>
        <w:rPr>
          <w:sz w:val="22"/>
          <w:szCs w:val="22"/>
        </w:rPr>
        <w:t xml:space="preserve">Para dispensa por valor (art. 75, II), o ETP é facultativo conforme art. 18, §2º. Mas um ETP simplificado é recomendado para registro institucional e mitigação de risco jurídico.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10. Posso fracionar uma compra em duas dispensas?</w:t>
      </w:r>
    </w:p>
    <w:p>
      <w:pPr>
        <w:spacing w:after="140" w:line="300"/>
      </w:pPr>
      <w:r>
        <w:rPr>
          <w:sz w:val="22"/>
          <w:szCs w:val="22"/>
        </w:rPr>
        <w:t xml:space="preserve">Não. Fracionamento (várias dispensas para o mesmo objeto somando acima do limite) é vedado por lei (art. 75, §1º) e pode caracterizar improbidade.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Categoria 3 — Especificação e descritivo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11. Posso pedir amostra do produto antes da assinatura do contrato?</w:t>
      </w:r>
    </w:p>
    <w:p>
      <w:pPr>
        <w:spacing w:after="140" w:line="300"/>
      </w:pPr>
      <w:r>
        <w:rPr>
          <w:sz w:val="22"/>
          <w:szCs w:val="22"/>
        </w:rPr>
        <w:t xml:space="preserve">Sim, conforme o art. 41, parágrafo único e a IN da unidade. Amostra é prática comum em material sensível. Devem ser objetivos os critérios de aceitação.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12. Posso citar marca/modelo no descritivo?</w:t>
      </w:r>
    </w:p>
    <w:p>
      <w:pPr>
        <w:spacing w:after="140" w:line="300"/>
      </w:pPr>
      <w:r>
        <w:rPr>
          <w:sz w:val="22"/>
          <w:szCs w:val="22"/>
        </w:rPr>
        <w:t xml:space="preserve">Em regra não — viola o art. 41 da Lei 14.133. Exceção: justificativa técnica robusta de exclusividade (raríssimo para material educacional).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13. Como descrever o produto sem direcionar marca?</w:t>
      </w:r>
    </w:p>
    <w:p>
      <w:pPr>
        <w:spacing w:after="140" w:line="300"/>
      </w:pPr>
      <w:r>
        <w:rPr>
          <w:sz w:val="22"/>
          <w:szCs w:val="22"/>
        </w:rPr>
        <w:t xml:space="preserve">Use propriedades técnicas objetivas: diâmetro, comprimento, material, processo de fabricação, certificações industriais aplicáveis. Veja o Descritivo Técnico Pronto (R03).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14. Qual diâmetro/comprimento usar para instrumental de videolaparoscopia?</w:t>
      </w:r>
    </w:p>
    <w:p>
      <w:pPr>
        <w:spacing w:after="140" w:line="300"/>
      </w:pPr>
      <w:r>
        <w:rPr>
          <w:sz w:val="22"/>
          <w:szCs w:val="22"/>
        </w:rPr>
        <w:t xml:space="preserve">Padrão para treinamento adulto: 5mm de diâmetro, comprimento entre 320mm e 360mm conforme o instrumento (porta-agulhas, tesoura, Grasper, Maryland). Veja R03.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15. Preciso especificar que o material é autoclavável?</w:t>
      </w:r>
    </w:p>
    <w:p>
      <w:pPr>
        <w:spacing w:after="140" w:line="300"/>
      </w:pPr>
      <w:r>
        <w:rPr>
          <w:sz w:val="22"/>
          <w:szCs w:val="22"/>
        </w:rPr>
        <w:t xml:space="preserve">Sim, recomendado. Especifique "autoclavável a 134°C" como requisito técnico — facilita reuso e prolonga vida útil em até 60 meses.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Categoria 4 — Habilitação e atestados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16. Atestado de capacidade técnica é obrigatório?</w:t>
      </w:r>
    </w:p>
    <w:p>
      <w:pPr>
        <w:spacing w:after="140" w:line="300"/>
      </w:pPr>
      <w:r>
        <w:rPr>
          <w:sz w:val="22"/>
          <w:szCs w:val="22"/>
        </w:rPr>
        <w:t xml:space="preserve">Não obrigatório por lei, mas amplamente recomendado para mitigar risco. O edital pode exigir ACT em até 50% do quantitativo sem fundamentação especial (súmula 263 TCU).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17. Posso exigir atestado para 100% do quantitativo?</w:t>
      </w:r>
    </w:p>
    <w:p>
      <w:pPr>
        <w:spacing w:after="140" w:line="300"/>
      </w:pPr>
      <w:r>
        <w:rPr>
          <w:sz w:val="22"/>
          <w:szCs w:val="22"/>
        </w:rPr>
        <w:t xml:space="preserve">Acima de 50% só com fundamentação técnica robusta (súmula 272 TCU). Sem justificativa, é restritivo.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18. Atestado pode ser de pessoa jurídica privada?</w:t>
      </w:r>
    </w:p>
    <w:p>
      <w:pPr>
        <w:spacing w:after="140" w:line="300"/>
      </w:pPr>
      <w:r>
        <w:rPr>
          <w:sz w:val="22"/>
          <w:szCs w:val="22"/>
        </w:rPr>
        <w:t xml:space="preserve">Sim. Pode ser de pessoa jurídica pública ou privada. Exigir apenas pública é restritivo.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19. Aceito atestado emitido por instituição estrangeira?</w:t>
      </w:r>
    </w:p>
    <w:p>
      <w:pPr>
        <w:spacing w:after="140" w:line="300"/>
      </w:pPr>
      <w:r>
        <w:rPr>
          <w:sz w:val="22"/>
          <w:szCs w:val="22"/>
        </w:rPr>
        <w:t xml:space="preserve">Pode aceitar, com tradução juramentada. Tudo o mais sendo igual, o atestado deve atender o conteúdo mínimo (CNPJ ou equivalente local, objeto, quantitativo, vigência, satisfação).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20. Que outras habilitações o fornecedor precisa apresentar?</w:t>
      </w:r>
    </w:p>
    <w:p>
      <w:pPr>
        <w:spacing w:after="140" w:line="300"/>
      </w:pPr>
      <w:r>
        <w:rPr>
          <w:sz w:val="22"/>
          <w:szCs w:val="22"/>
        </w:rPr>
        <w:t xml:space="preserve">Habilitação jurídica (contrato social, CNPJ, alvará), fiscal (CNDs), trabalhista (CNDT), econômico-financeira (certidão de falência) e técnica (atestado + declaração de finalidade educacional).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Categoria 5 — Pesquisa de preços e CATMAT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21. Quantas fontes de pesquisa de preços preciso?</w:t>
      </w:r>
    </w:p>
    <w:p>
      <w:pPr>
        <w:spacing w:after="140" w:line="300"/>
      </w:pPr>
      <w:r>
        <w:rPr>
          <w:sz w:val="22"/>
          <w:szCs w:val="22"/>
        </w:rPr>
        <w:t xml:space="preserve">Mínimo 3, conforme art. 23 da Lei 14.133 e IN SEGES nº 65/2021. Recomendado: diversificar (cotações diretas + PNCP + Painel de Preços).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22. Que critério estatístico usar?</w:t>
      </w:r>
    </w:p>
    <w:p>
      <w:pPr>
        <w:spacing w:after="140" w:line="300"/>
      </w:pPr>
      <w:r>
        <w:rPr>
          <w:sz w:val="22"/>
          <w:szCs w:val="22"/>
        </w:rPr>
        <w:t xml:space="preserve">Mediana (recomendada pela IN SEGES 65/2021) ou média saneada (excluindo outliers). Mediana reduz o impacto de valores muito altos ou baixos.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23. Como tratar outlier (ponto fora da curva)?</w:t>
      </w:r>
    </w:p>
    <w:p>
      <w:pPr>
        <w:spacing w:after="140" w:line="300"/>
      </w:pPr>
      <w:r>
        <w:rPr>
          <w:sz w:val="22"/>
          <w:szCs w:val="22"/>
        </w:rPr>
        <w:t xml:space="preserve">Exclua com justificativa objetiva (CV &gt; 25%, valor &gt; 3× mediana). Documente a exclusão em memorando à parte. Mantenha o dado original no processo.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24. Qual CATMAT usar para instrumental educacional?</w:t>
      </w:r>
    </w:p>
    <w:p>
      <w:pPr>
        <w:spacing w:after="140" w:line="300"/>
      </w:pPr>
      <w:r>
        <w:rPr>
          <w:sz w:val="22"/>
          <w:szCs w:val="22"/>
        </w:rPr>
        <w:t xml:space="preserve">Família 'equipamento de ensino e treinamento médico'. Evite CATMAT de 'instrumental cirúrgico' (categoria para uso em paciente). Veja R08.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25. E se não houver CATMAT adequado?</w:t>
      </w:r>
    </w:p>
    <w:p>
      <w:pPr>
        <w:spacing w:after="140" w:line="300"/>
      </w:pPr>
      <w:r>
        <w:rPr>
          <w:sz w:val="22"/>
          <w:szCs w:val="22"/>
        </w:rPr>
        <w:t xml:space="preserve">Abra chamado no Comprasnet (módulo de Catálogo) solicitando a criação de novo código. Prazo típico: 15-45 dias. Universidade federal pode articular com IFES para priorização.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Categoria 6 — Contrato e gestão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26. Que prazo de entrega usar no TR?</w:t>
      </w:r>
    </w:p>
    <w:p>
      <w:pPr>
        <w:spacing w:after="140" w:line="300"/>
      </w:pPr>
      <w:r>
        <w:rPr>
          <w:sz w:val="22"/>
          <w:szCs w:val="22"/>
        </w:rPr>
        <w:t xml:space="preserve">30-60 dias corridos para instrumental simples; 60-90 dias para equipamentos importados ou produzidos sob demanda. Prazos muito curtos (≤15 dias) restringem o mercado.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27. Qual garantia mínima exigir?</w:t>
      </w:r>
    </w:p>
    <w:p>
      <w:pPr>
        <w:spacing w:after="140" w:line="300"/>
      </w:pPr>
      <w:r>
        <w:rPr>
          <w:sz w:val="22"/>
          <w:szCs w:val="22"/>
        </w:rPr>
        <w:t xml:space="preserve">12 meses contra defeitos de fabricação é o padrão de mercado. Especifique prazo máximo de atendimento de garantia (≤15 dias corridos) e disponibilidade de peças (≥24 meses).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28. Preciso designar fiscal técnico?</w:t>
      </w:r>
    </w:p>
    <w:p>
      <w:pPr>
        <w:spacing w:after="140" w:line="300"/>
      </w:pPr>
      <w:r>
        <w:rPr>
          <w:sz w:val="22"/>
          <w:szCs w:val="22"/>
        </w:rPr>
        <w:t xml:space="preserve">Sim, é obrigatório (art. 117 da Lei 14.133). Designe também fiscal administrativo e gestor do contrato.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29. Posso alterar o contrato após assinado?</w:t>
      </w:r>
    </w:p>
    <w:p>
      <w:pPr>
        <w:spacing w:after="140" w:line="300"/>
      </w:pPr>
      <w:r>
        <w:rPr>
          <w:sz w:val="22"/>
          <w:szCs w:val="22"/>
        </w:rPr>
        <w:t xml:space="preserve">Sim, em até 25% do valor original (acréscimos quantitativos) ou 50% no caso de reforma. Alterações qualitativas exigem termo aditivo com parecer técnico e jurídico.</w:t>
      </w:r>
    </w:p>
    <w:p>
      <w:pPr>
        <w:spacing w:after="80" w:before="180" w:line="300"/>
      </w:pPr>
      <w:r>
        <w:rPr>
          <w:b/>
          <w:bCs/>
          <w:color w:val="1F3A5F"/>
          <w:sz w:val="22"/>
          <w:szCs w:val="22"/>
        </w:rPr>
        <w:t xml:space="preserve">30. Quanto tempo demora entre demanda formal e entrega definitiva?</w:t>
      </w:r>
    </w:p>
    <w:p>
      <w:pPr>
        <w:spacing w:after="140" w:line="300"/>
      </w:pPr>
      <w:r>
        <w:rPr>
          <w:sz w:val="22"/>
          <w:szCs w:val="22"/>
        </w:rPr>
        <w:t xml:space="preserve">90 a 180 dias em órgão com fluxo médio. Planeje com 6 meses de antecedência para prazos críticos (acreditação MEC, abertura de ano letivo).</w:t>
      </w:r>
    </w:p>
    <w:p>
      <w:pPr>
        <w:spacing w:after="300" w:before="400"/>
        <w:jc w:val="center"/>
      </w:pPr>
      <w:r>
        <w:rPr>
          <w:i/>
          <w:iCs/>
          <w:color w:val="808080"/>
          <w:sz w:val="18"/>
          <w:szCs w:val="18"/>
        </w:rPr>
        <w:t xml:space="preserve">— Fim do FAQ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Página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FAQ — Aquisição de material de treinamento médico via pregão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3A5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FAQ: dúvidas frequentes sobre aquisição de material de treinamento médico via pregão</dc:title>
  <dc:creator>Un-named</dc:creator>
  <dc:description>30 perguntas e respostas sobre aquisição pública de material educacional médico, organizadas em 6 categorias temáticas.</dc:description>
  <cp:lastModifiedBy>Un-named</cp:lastModifiedBy>
  <cp:revision>1</cp:revision>
  <dcterms:created xsi:type="dcterms:W3CDTF">2026-05-12T23:50:17.555Z</dcterms:created>
  <dcterms:modified xsi:type="dcterms:W3CDTF">2026-05-12T23:50:17.556Z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