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b/>
          <w:bCs/>
          <w:color w:val="1F3A5F"/>
          <w:sz w:val="36"/>
          <w:szCs w:val="36"/>
        </w:rPr>
        <w:t xml:space="preserve">COMO MONTAR UM</w:t>
      </w:r>
    </w:p>
    <w:p>
      <w:pPr>
        <w:spacing w:after="200"/>
        <w:jc w:val="center"/>
      </w:pPr>
      <w:r>
        <w:rPr>
          <w:b/>
          <w:bCs/>
          <w:color w:val="1F3A5F"/>
          <w:sz w:val="36"/>
          <w:szCs w:val="36"/>
        </w:rPr>
        <w:t xml:space="preserve">LABORATÓRIO DE HABILIDADES MÉDICAS</w:t>
      </w:r>
    </w:p>
    <w:p>
      <w:pPr>
        <w:spacing w:after="200"/>
        <w:jc w:val="center"/>
      </w:pPr>
      <w:r>
        <w:rPr>
          <w:color w:val="2E5C8A"/>
          <w:sz w:val="24"/>
          <w:szCs w:val="24"/>
        </w:rPr>
        <w:t xml:space="preserve">Guia para faculdades, hospitais universitários e ligas acadêmicas</w:t>
      </w:r>
    </w:p>
    <w:p>
      <w:pPr>
        <w:spacing w:after="600"/>
        <w:jc w:val="center"/>
      </w:pPr>
      <w:r>
        <w:rPr>
          <w:i/>
          <w:iCs/>
          <w:color w:val="595959"/>
          <w:sz w:val="22"/>
          <w:szCs w:val="22"/>
        </w:rPr>
        <w:t xml:space="preserve">Planejamento · dimensionamento · equipamentos mínimos · orçamento estimado · fluxo pedagógico</w:t>
      </w:r>
    </w:p>
    <w:p>
      <w:r>
        <w:br w:type="page"/>
      </w:r>
    </w:p>
    <w:p>
      <w:pPr>
        <w:pBdr>
          <w:left w:val="single" w:color="F39C12" w:sz="24" w:space="8"/>
        </w:pBdr>
        <w:shd w:fill="FFF9E6" w:val="clear"/>
        <w:spacing w:after="200"/>
      </w:pPr>
      <w:r>
        <w:rPr>
          <w:b/>
          <w:bCs/>
          <w:color w:val="B86E00"/>
          <w:sz w:val="22"/>
          <w:szCs w:val="22"/>
        </w:rPr>
        <w:t xml:space="preserve">AVISO: </w:t>
      </w:r>
      <w:r>
        <w:rPr>
          <w:color w:val="5D4500"/>
          <w:sz w:val="20"/>
          <w:szCs w:val="20"/>
        </w:rPr>
        <w:t xml:space="preserve">Material informativo. Os parâmetros e estimativas devem ser adaptados ao contexto institucional, ao número de alunos atendidos e ao escopo pedagógico definido pelo coordenador.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Sumário</w:t>
      </w:r>
    </w:p>
    <w:p>
      <w:pPr>
        <w:spacing w:after="120" w:before="0" w:line="320"/>
      </w:pPr>
      <w:r>
        <w:rPr>
          <w:sz w:val="22"/>
          <w:szCs w:val="22"/>
        </w:rPr>
        <w:t xml:space="preserve">1. Por que ter um laboratório de habilidades</w:t>
      </w:r>
    </w:p>
    <w:p>
      <w:pPr>
        <w:spacing w:after="120" w:before="0" w:line="320"/>
      </w:pPr>
      <w:r>
        <w:rPr>
          <w:sz w:val="22"/>
          <w:szCs w:val="22"/>
        </w:rPr>
        <w:t xml:space="preserve">2. Tipos de laboratório (dry, wet, híbrido, virtual)</w:t>
      </w:r>
    </w:p>
    <w:p>
      <w:pPr>
        <w:spacing w:after="120" w:before="0" w:line="320"/>
      </w:pPr>
      <w:r>
        <w:rPr>
          <w:sz w:val="22"/>
          <w:szCs w:val="22"/>
        </w:rPr>
        <w:t xml:space="preserve">3. Etapa 1 — Definir escopo pedagógico</w:t>
      </w:r>
    </w:p>
    <w:p>
      <w:pPr>
        <w:spacing w:after="120" w:before="0" w:line="320"/>
      </w:pPr>
      <w:r>
        <w:rPr>
          <w:sz w:val="22"/>
          <w:szCs w:val="22"/>
        </w:rPr>
        <w:t xml:space="preserve">4. Etapa 2 — Dimensionar o espaço físico</w:t>
      </w:r>
    </w:p>
    <w:p>
      <w:pPr>
        <w:spacing w:after="120" w:before="0" w:line="320"/>
      </w:pPr>
      <w:r>
        <w:rPr>
          <w:sz w:val="22"/>
          <w:szCs w:val="22"/>
        </w:rPr>
        <w:t xml:space="preserve">5. Etapa 3 — Selecionar equipamentos e instrumental</w:t>
      </w:r>
    </w:p>
    <w:p>
      <w:pPr>
        <w:spacing w:after="120" w:before="0" w:line="320"/>
      </w:pPr>
      <w:r>
        <w:rPr>
          <w:sz w:val="22"/>
          <w:szCs w:val="22"/>
        </w:rPr>
        <w:t xml:space="preserve">6. Etapa 4 — Planejar o fluxo pedagógico</w:t>
      </w:r>
    </w:p>
    <w:p>
      <w:pPr>
        <w:spacing w:after="120" w:before="0" w:line="320"/>
      </w:pPr>
      <w:r>
        <w:rPr>
          <w:sz w:val="22"/>
          <w:szCs w:val="22"/>
        </w:rPr>
        <w:t xml:space="preserve">7. Etapa 5 — Estimar orçamento</w:t>
      </w:r>
    </w:p>
    <w:p>
      <w:pPr>
        <w:spacing w:after="120" w:before="0" w:line="320"/>
      </w:pPr>
      <w:r>
        <w:rPr>
          <w:sz w:val="22"/>
          <w:szCs w:val="22"/>
        </w:rPr>
        <w:t xml:space="preserve">8. Etapa 6 — Articular parcerias e captação</w:t>
      </w:r>
    </w:p>
    <w:p>
      <w:pPr>
        <w:spacing w:after="120" w:before="0" w:line="320"/>
      </w:pPr>
      <w:r>
        <w:rPr>
          <w:sz w:val="22"/>
          <w:szCs w:val="22"/>
        </w:rPr>
        <w:t xml:space="preserve">9. Etapa 7 — Operação e manutenção</w:t>
      </w:r>
    </w:p>
    <w:p>
      <w:pPr>
        <w:spacing w:after="120" w:before="0" w:line="320"/>
      </w:pPr>
      <w:r>
        <w:rPr>
          <w:sz w:val="22"/>
          <w:szCs w:val="22"/>
        </w:rPr>
        <w:t xml:space="preserve">10. Roteiro condensado em 12 semanas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1. Por que ter um laboratório de habilidades</w:t>
      </w:r>
    </w:p>
    <w:p>
      <w:pPr>
        <w:spacing w:after="120" w:before="0" w:line="320"/>
      </w:pPr>
      <w:r>
        <w:rPr>
          <w:sz w:val="22"/>
          <w:szCs w:val="22"/>
        </w:rPr>
        <w:t xml:space="preserve">Programas de formação em saúde com laboratório de habilidades estruturado apresentam, em séries históricas comparáveis: maior taxa de conclusão pelos residentes, melhor desempenho em provas de título da especialidade, menor índice de eventos adversos clínicos atribuíveis a curva de aprendizado, e melhor classificação em avaliações regulatórias (SINAES/MEC, OPAS, ONA quando aplicável).</w:t>
      </w:r>
    </w:p>
    <w:p>
      <w:pPr>
        <w:spacing w:after="120" w:before="0" w:line="320"/>
      </w:pPr>
      <w:r>
        <w:rPr>
          <w:sz w:val="22"/>
          <w:szCs w:val="22"/>
        </w:rPr>
        <w:t xml:space="preserve">Para a instituição, o laboratório representa: diferencial competitivo na captação de alunos, requisito para acreditação, ativo institucional com vida útil de 5-10 anos.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2. Tipos de laboratório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2500"/>
        <w:gridCol w:w="2026"/>
      </w:tblGrid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Tipo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 que é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Vantagens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Limites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Dry lab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Sem material biológico. Endotrainer, simuladores físicos, modelos sintéticos.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Baixo custo de operação. Reutilizável. Sem biossegurança especial.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Menor realismo tátil em alguns tecidos.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Wet lab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Com material biológico (cadáver, peças animais).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Realismo máximo de tecido.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Alto custo. Biossegurança. Logística. Ética.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Híbrido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Combina dry + wet (módulos rotativos).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Equilíbrio custo/realismo.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Complexidade de gestão.</w:t>
            </w:r>
          </w:p>
        </w:tc>
      </w:tr>
      <w:tr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Virtual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Simuladores de realidade virtual (VR/AR).</w:t>
            </w:r>
          </w:p>
        </w:tc>
        <w:tc>
          <w:tcPr>
            <w:tcW w:type="dxa" w:w="2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Métricas automáticas. Repetibilidade. Sem consumíveis.</w:t>
            </w:r>
          </w:p>
        </w:tc>
        <w:tc>
          <w:tcPr>
            <w:tcW w:type="dxa" w:w="2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Custo alto. Curva de adesão.</w:t>
            </w:r>
          </w:p>
        </w:tc>
      </w:tr>
    </w:tbl>
    <w:p>
      <w:pPr>
        <w:spacing w:after="120" w:before="0" w:line="320"/>
      </w:pPr>
      <w:r>
        <w:rPr>
          <w:sz w:val="22"/>
          <w:szCs w:val="22"/>
        </w:rPr>
        <w:t xml:space="preserve"> </w:t>
      </w:r>
    </w:p>
    <w:p>
      <w:pPr>
        <w:spacing w:after="120" w:before="0" w:line="320"/>
      </w:pPr>
      <w:r>
        <w:rPr>
          <w:sz w:val="22"/>
          <w:szCs w:val="22"/>
        </w:rPr>
        <w:t xml:space="preserve">Para a maioria das faculdades brasileiras, recomenda-se começar pelo dry lab e expandir progressivamente.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3. Etapa 1 — Definir escopo pedagógico</w:t>
      </w:r>
    </w:p>
    <w:p>
      <w:pPr>
        <w:spacing w:after="120" w:before="0" w:line="320"/>
      </w:pPr>
      <w:r>
        <w:rPr>
          <w:sz w:val="22"/>
          <w:szCs w:val="22"/>
        </w:rPr>
        <w:t xml:space="preserve">Antes de qualquer compra, defina: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Público-alvo: residentes (qual especialidade), internos, alunos de graduação, ligas, profissionais externos?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Módulos formativos: sutura, hemostasia, anastomose, videolaparoscopia básica, vias aéreas, acesso venoso?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Carga horária mínima por aluno por módulo.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Indicadores de aprendizado: tempo, acurácia, OSATS, GOALS, FLS?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Vínculo com o currículo formal (matriz CNRM, projeto pedagógico do curso).</w:t>
      </w:r>
    </w:p>
    <w:p>
      <w:pPr>
        <w:spacing w:after="120" w:before="0" w:line="320"/>
      </w:pPr>
      <w:r>
        <w:rPr>
          <w:sz w:val="22"/>
          <w:szCs w:val="22"/>
        </w:rPr>
        <w:t xml:space="preserve">Esses parâmetros determinam todas as decisões subsequentes — tipo de simulador, número de estações, layout.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4. Etapa 2 — Dimensionar o espaço físico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4.1 Área mínima recomendada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Por estação de treinamento: 6 a 9 m² (mesa + cadeira + circulação).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Sala de aula expositiva (opcional): 25 a 40 m².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Área de armazenamento (instrumental, consumíveis): 10 a 15 m².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Área de limpeza e autoclavagem: 8 a 12 m² (compartilhável com CME existente).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Banheiros adjacentes ou no andar.</w:t>
      </w:r>
    </w:p>
    <w:p>
      <w:pPr>
        <w:spacing w:after="120" w:before="0" w:line="320"/>
      </w:pPr>
      <w:r>
        <w:rPr>
          <w:sz w:val="22"/>
          <w:szCs w:val="22"/>
        </w:rPr>
        <w:t xml:space="preserve">Laboratório pequeno (4 estações): ~50 m² total. Laboratório médio (8-12 estações): 100-150 m². Laboratório grande (&gt;20 estações): 200+ m².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4.2 Infraestrutura básica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Iluminação geral e focal por estação.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Tomadas elétricas suficientes (≥2 por estação) com aterramento.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Rede lógica (internet cabeada) — útil para simuladores virtuais e gravação de sessões.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Climatização adequada — instrumental de aço inox é sensível à umidade.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Piso de fácil limpeza (vinílico ou cerâmica, sem ranhuras profundas).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5. Etapa 3 — Selecionar equipamentos e instrumental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5.1 Kit mínimo de dry lab para videolaparoscopia</w:t>
      </w:r>
    </w:p>
    <w:p>
      <w:pPr>
        <w:spacing w:after="120" w:before="0" w:line="320"/>
      </w:pPr>
      <w:r>
        <w:rPr>
          <w:sz w:val="22"/>
          <w:szCs w:val="22"/>
        </w:rPr>
        <w:t xml:space="preserve">Para começar com 4 estações de videolaparoscopia básica: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4 endotrainers (caixas de treinamento) com pelo menos 2 portas de trocarte.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4 conjuntos de instrumental 5mm: porta-agulhas, tesoura, Grasper, Maryland.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4 ópticas de treinamento (câmera USB ou simulada) + monitores.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Consumíveis: kits de sutura treino, esponjas, peças sintéticas para anastomose.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1 maleta organizadora por estação.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Mesa, cadeira ergonômica, iluminação focal por estação.</w:t>
      </w:r>
    </w:p>
    <w:p>
      <w:pPr>
        <w:spacing w:after="120" w:before="0" w:line="320"/>
      </w:pPr>
      <w:r>
        <w:rPr>
          <w:sz w:val="22"/>
          <w:szCs w:val="22"/>
        </w:rPr>
        <w:t xml:space="preserve">→ Para descritivo técnico colável dos instrumentos, ver R03 — /recursos/descritivo-tecnico-pronto.</w:t>
      </w:r>
    </w:p>
    <w:p>
      <w:pPr>
        <w:pStyle w:val="Heading2"/>
      </w:pPr>
      <w:r>
        <w:rPr>
          <w:b/>
          <w:bCs/>
          <w:color w:val="1F3A5F"/>
          <w:sz w:val="28"/>
          <w:szCs w:val="28"/>
        </w:rPr>
        <w:t xml:space="preserve">5.2 Outros módulos comuns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Sutura básica (pele, subcutâneo, fáscia): manequim/almofada + instrumental básico.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Acesso venoso periférico: manequim de braço + insumos.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Vias aéreas: manequim de cabeça/pescoço + laringoscópio educacional.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Punção lombar / acesso central: simulador específico.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Anastomose intestinal: peças sintéticas ou animais (wet lab).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6. Etapa 4 — Planejar o fluxo pedagógico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Estruturação modular — cada módulo com objetivos, pré-requisitos, indicadores de domínio.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Progressão técnica — do mais simples (manuseio de instrumental) ao mais complexo (sutura intracorpórea).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Avaliação inicial (baseline) e final (proficiência) com escalas validadas (OSATS, GOALS, FLS quando aplicável).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Carga horária realista — 30 a 60 horas/aluno em primeira fase costuma ser suficiente para habilidades motoras básicas.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Rotação entre estações — evita ociosidade e padroniza a exposição.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Tutor/preceptor — papel chave; nem todo professor consegue ser bom em coaching técnico-motor.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Documentação de progresso por aluno — boletim ou portfólio digital.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7. Etapa 5 — Estimar orçamento</w:t>
      </w:r>
    </w:p>
    <w:p>
      <w:pPr>
        <w:spacing w:after="120" w:before="0" w:line="320"/>
      </w:pPr>
      <w:r>
        <w:rPr>
          <w:sz w:val="22"/>
          <w:szCs w:val="22"/>
        </w:rPr>
        <w:t xml:space="preserve">Faixas referenciais (valores aproximados de mercado em maio/2026, sem incluir reforma civil):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26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Porte do laboratório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Equipamentos + instrumental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0F4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Operação anual (consumíveis + manutenção)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Pequeno (4 estações)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R$ 30 a 80 mil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R$ 5 a 15 mil/ano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Médio (8-12 estações)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R$ 80 a 250 mil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R$ 15 a 40 mil/ano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Grande (&gt;20 estações + VR)</w:t>
            </w:r>
          </w:p>
        </w:tc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R$ 250 mil a 1,5 mi</w:t>
            </w:r>
          </w:p>
        </w:tc>
        <w:tc>
          <w:tcPr>
            <w:tcW w:type="dxa" w:w="30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R$ 40 a 100 mil/ano</w:t>
            </w:r>
          </w:p>
        </w:tc>
      </w:tr>
    </w:tbl>
    <w:p>
      <w:pPr>
        <w:spacing w:after="120" w:before="0" w:line="320"/>
      </w:pPr>
      <w:r>
        <w:rPr>
          <w:sz w:val="22"/>
          <w:szCs w:val="22"/>
        </w:rPr>
        <w:t xml:space="preserve"> </w:t>
      </w:r>
    </w:p>
    <w:p>
      <w:pPr>
        <w:spacing w:after="120" w:before="0" w:line="320"/>
      </w:pPr>
      <w:r>
        <w:rPr>
          <w:sz w:val="22"/>
          <w:szCs w:val="22"/>
        </w:rPr>
        <w:t xml:space="preserve">Reforma civil costuma adicionar 30-50% sobre o valor do equipamento.</w:t>
      </w:r>
    </w:p>
    <w:p>
      <w:pPr>
        <w:spacing w:after="120" w:before="0" w:line="320"/>
      </w:pPr>
      <w:r>
        <w:rPr>
          <w:sz w:val="22"/>
          <w:szCs w:val="22"/>
        </w:rPr>
        <w:t xml:space="preserve">→ Para pesquisa de preços formal (Lei 14.133), ver R07 — /recursos/planilha-pesquisa-precos-pregao.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8. Etapa 6 — Articular parcerias e captação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Verba institucional (PDI, orçamento da unidade) — caminho primário.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Editais de fomento — FAP estadual, CAPES, CNPq, FINEP — para projetos com componente de pesquisa.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Emendas parlamentares — para universidades federais e estaduais (vereador, deputado estadual/federal).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Fundação de apoio — útil para liga acadêmica e projetos com financiador externo.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Acordos de cooperação técnica — com hospital universitário, sociedade médica de especialidade.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Crowdfunding institucional — pouco usual no Brasil, mas crescente em ligas de prestígio.</w:t>
      </w:r>
    </w:p>
    <w:p>
      <w:pPr>
        <w:spacing w:after="120" w:before="0" w:line="320"/>
      </w:pPr>
      <w:r>
        <w:rPr>
          <w:sz w:val="22"/>
          <w:szCs w:val="22"/>
        </w:rPr>
        <w:t xml:space="preserve">Para fundamentar o pedido de verba, articule os 8 argumentos do R05 — /recursos/como-justificar-aquisicao-simulador.</w:t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9. Etapa 7 — Operação e manutenção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Responsável técnico do lab (servidor TAE ou docente).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Agenda de uso (presencial ou via sistema de reserva).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Protocolo de limpeza e autoclavagem do instrumental — referência para instrumental educacional vide vida útil 36-60 meses.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Inventário e controle patrimonial — exigência do SIPAC ou equivalente.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Indicadores mensais de uso (nº horas-aluno, ocupação por módulo).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Avaliação anual de impacto pedagógico.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sz w:val="22"/>
          <w:szCs w:val="22"/>
        </w:rPr>
        <w:t xml:space="preserve">Plano de renovação técnica (substituição progressiva a cada 5 anos).</w:t>
      </w:r>
    </w:p>
    <w:p>
      <w:r>
        <w:br w:type="page"/>
      </w:r>
    </w:p>
    <w:p>
      <w:pPr>
        <w:pStyle w:val="Heading1"/>
      </w:pPr>
      <w:r>
        <w:rPr>
          <w:b/>
          <w:bCs/>
          <w:color w:val="1F3A5F"/>
          <w:sz w:val="32"/>
          <w:szCs w:val="32"/>
        </w:rPr>
        <w:t xml:space="preserve">10. Roteiro condensado em 12 semanas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Semana 1-2: definir escopo pedagógico + público-alvo + módulos.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Semana 3-4: dimensionar espaço físico + listar requisitos de infraestrutura.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Semana 5-6: especificar kit mínimo + buscar fornecedores (pesquisa de mercado).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Semana 7-8: elaborar ETP + TR (modelos do hub R01 e R02).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Semana 9-10: parecer jurídico + autorização da autoridade competente.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Semana 11: publicação do edital no PNCP.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sz w:val="22"/>
          <w:szCs w:val="22"/>
        </w:rPr>
        <w:t xml:space="preserve">Semana 12: sessão de pregão.</w:t>
      </w:r>
    </w:p>
    <w:p>
      <w:pPr>
        <w:spacing w:after="120" w:before="0" w:line="320"/>
      </w:pPr>
      <w:r>
        <w:rPr>
          <w:sz w:val="22"/>
          <w:szCs w:val="22"/>
        </w:rPr>
        <w:t xml:space="preserve"> </w:t>
      </w:r>
    </w:p>
    <w:p>
      <w:pPr>
        <w:spacing w:after="120" w:before="0" w:line="320"/>
      </w:pPr>
      <w:r>
        <w:rPr>
          <w:sz w:val="22"/>
          <w:szCs w:val="22"/>
        </w:rPr>
        <w:t xml:space="preserve">Semanas 13-20: empenho, fornecedor produz/importa, entrega (típico 30-60 dias).</w:t>
      </w:r>
    </w:p>
    <w:p>
      <w:pPr>
        <w:spacing w:after="120" w:before="0" w:line="320"/>
      </w:pPr>
      <w:r>
        <w:rPr>
          <w:sz w:val="22"/>
          <w:szCs w:val="22"/>
        </w:rPr>
        <w:t xml:space="preserve">Semana 21-22: recebimento provisório + definitivo + treinamento operacional.</w:t>
      </w:r>
    </w:p>
    <w:p>
      <w:pPr>
        <w:spacing w:after="120" w:before="0" w:line="320"/>
      </w:pPr>
      <w:r>
        <w:rPr>
          <w:sz w:val="22"/>
          <w:szCs w:val="22"/>
        </w:rPr>
        <w:t xml:space="preserve">Semana 23+: laboratório operacional.</w:t>
      </w:r>
    </w:p>
    <w:p>
      <w:pPr>
        <w:spacing w:after="300" w:before="400"/>
        <w:jc w:val="center"/>
      </w:pPr>
      <w:r>
        <w:rPr>
          <w:i/>
          <w:iCs/>
          <w:color w:val="808080"/>
          <w:sz w:val="18"/>
          <w:szCs w:val="18"/>
        </w:rPr>
        <w:t xml:space="preserve">— Fim do guia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Página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de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08080"/>
        <w:sz w:val="18"/>
        <w:szCs w:val="18"/>
      </w:rPr>
      <w:t xml:space="preserve">Como montar um laboratório de habilidades médicas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F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3A5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montar um laboratório de habilidades médicas — guia para faculdades e ligas acadêmicas</dc:title>
  <dc:creator>Un-named</dc:creator>
  <dc:description>Roteiro prático para planejar, dimensionar, equipar e operar um laboratório de habilidades médicas em faculdade, hospital universitário ou liga acadêmica.</dc:description>
  <cp:lastModifiedBy>Un-named</cp:lastModifiedBy>
  <cp:revision>1</cp:revision>
  <dcterms:created xsi:type="dcterms:W3CDTF">2026-05-12T23:41:51.058Z</dcterms:created>
  <dcterms:modified xsi:type="dcterms:W3CDTF">2026-05-12T23:41:51.058Z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